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仿宋_GB2312" w:eastAsia="仿宋_GB2312"/>
          <w:color w:val="000000"/>
          <w:sz w:val="28"/>
        </w:rPr>
      </w:pPr>
    </w:p>
    <w:p>
      <w:pPr>
        <w:spacing w:line="360" w:lineRule="auto"/>
        <w:jc w:val="center"/>
        <w:rPr>
          <w:rFonts w:hint="eastAsia" w:ascii="华文新魏" w:eastAsia="华文新魏"/>
          <w:b/>
          <w:bCs/>
          <w:color w:val="000000"/>
          <w:sz w:val="48"/>
          <w:szCs w:val="48"/>
          <w:lang w:val="en-US" w:eastAsia="zh-CN"/>
        </w:rPr>
      </w:pPr>
      <w:r>
        <w:rPr>
          <w:rFonts w:hint="eastAsia" w:ascii="华文新魏" w:eastAsia="华文新魏"/>
          <w:b/>
          <w:bCs/>
          <w:color w:val="000000"/>
          <w:sz w:val="48"/>
          <w:szCs w:val="48"/>
          <w:lang w:val="en-US" w:eastAsia="zh-CN"/>
        </w:rPr>
        <w:t>云岩区头桥第二卫生服务站建设项目</w:t>
      </w:r>
    </w:p>
    <w:p>
      <w:pPr>
        <w:spacing w:line="360" w:lineRule="auto"/>
        <w:jc w:val="center"/>
        <w:rPr>
          <w:rFonts w:hint="eastAsia" w:ascii="华文新魏" w:eastAsia="华文新魏"/>
          <w:b/>
          <w:bCs/>
          <w:color w:val="000000"/>
          <w:sz w:val="48"/>
          <w:szCs w:val="48"/>
        </w:rPr>
      </w:pPr>
      <w:r>
        <w:rPr>
          <w:rFonts w:hint="eastAsia" w:ascii="华文新魏" w:eastAsia="华文新魏"/>
          <w:b/>
          <w:bCs/>
          <w:color w:val="000000"/>
          <w:sz w:val="48"/>
          <w:szCs w:val="48"/>
        </w:rPr>
        <w:t>竣工环境保护验收报告表</w:t>
      </w:r>
    </w:p>
    <w:p>
      <w:pPr>
        <w:spacing w:line="360" w:lineRule="auto"/>
        <w:jc w:val="center"/>
        <w:rPr>
          <w:rFonts w:ascii="仿宋_GB2312" w:eastAsia="仿宋_GB2312"/>
          <w:color w:val="000000"/>
          <w:sz w:val="28"/>
        </w:rPr>
      </w:pPr>
    </w:p>
    <w:p>
      <w:pPr>
        <w:jc w:val="center"/>
        <w:rPr>
          <w:rFonts w:hint="eastAsia" w:ascii="仿宋_GB2312" w:eastAsia="仿宋_GB2312"/>
          <w:color w:val="000000"/>
          <w:sz w:val="28"/>
        </w:rPr>
      </w:pPr>
    </w:p>
    <w:p>
      <w:pPr>
        <w:jc w:val="center"/>
        <w:rPr>
          <w:rFonts w:hint="eastAsia" w:ascii="仿宋_GB2312" w:eastAsia="仿宋_GB2312"/>
          <w:color w:val="000000"/>
          <w:sz w:val="28"/>
        </w:rPr>
      </w:pPr>
    </w:p>
    <w:p>
      <w:pPr>
        <w:jc w:val="center"/>
        <w:rPr>
          <w:rFonts w:ascii="仿宋_GB2312" w:eastAsia="仿宋_GB2312"/>
          <w:color w:val="000000"/>
          <w:sz w:val="28"/>
        </w:rPr>
      </w:pPr>
    </w:p>
    <w:p>
      <w:pPr>
        <w:jc w:val="center"/>
        <w:rPr>
          <w:rFonts w:ascii="仿宋_GB2312" w:eastAsia="仿宋_GB2312"/>
          <w:color w:val="000000"/>
          <w:sz w:val="28"/>
        </w:rPr>
      </w:pPr>
    </w:p>
    <w:p>
      <w:pPr>
        <w:jc w:val="center"/>
        <w:rPr>
          <w:rFonts w:ascii="仿宋_GB2312" w:eastAsia="仿宋_GB2312"/>
          <w:color w:val="000000"/>
          <w:sz w:val="28"/>
        </w:rPr>
      </w:pPr>
    </w:p>
    <w:p>
      <w:pPr>
        <w:rPr>
          <w:rFonts w:ascii="仿宋_GB2312" w:eastAsia="仿宋_GB2312"/>
          <w:color w:val="000000"/>
          <w:sz w:val="28"/>
        </w:rPr>
      </w:pPr>
    </w:p>
    <w:p>
      <w:pPr>
        <w:rPr>
          <w:rFonts w:hint="eastAsia" w:ascii="华文新魏" w:eastAsia="华文新魏"/>
          <w:color w:val="000000"/>
          <w:sz w:val="28"/>
          <w:szCs w:val="28"/>
        </w:rPr>
      </w:pPr>
      <w:r>
        <w:rPr>
          <w:rFonts w:ascii="仿宋_GB2312" w:eastAsia="仿宋_GB2312"/>
          <w:color w:val="000000"/>
          <w:sz w:val="28"/>
        </w:rPr>
        <w:tab/>
      </w:r>
    </w:p>
    <w:p>
      <w:pPr>
        <w:keepNext w:val="0"/>
        <w:keepLines w:val="0"/>
        <w:pageBreakBefore w:val="0"/>
        <w:widowControl/>
        <w:kinsoku/>
        <w:wordWrap/>
        <w:overflowPunct/>
        <w:topLinePunct w:val="0"/>
        <w:autoSpaceDE/>
        <w:autoSpaceDN/>
        <w:bidi w:val="0"/>
        <w:adjustRightInd w:val="0"/>
        <w:snapToGrid w:val="0"/>
        <w:ind w:right="220" w:rightChars="100"/>
        <w:textAlignment w:val="auto"/>
        <w:outlineLvl w:val="9"/>
        <w:rPr>
          <w:rFonts w:hint="eastAsia" w:ascii="华文新魏" w:eastAsia="华文新魏"/>
          <w:color w:val="000000"/>
          <w:sz w:val="28"/>
          <w:szCs w:val="28"/>
          <w:lang w:eastAsia="zh-CN"/>
        </w:rPr>
      </w:pPr>
      <w:r>
        <w:rPr>
          <w:rFonts w:hint="eastAsia" w:ascii="华文新魏" w:eastAsia="华文新魏"/>
          <w:color w:val="000000"/>
          <w:sz w:val="28"/>
          <w:szCs w:val="28"/>
        </w:rPr>
        <w:tab/>
      </w:r>
      <w:r>
        <w:rPr>
          <w:rFonts w:hint="eastAsia" w:ascii="华文新魏" w:eastAsia="华文新魏"/>
          <w:color w:val="000000"/>
          <w:sz w:val="28"/>
          <w:szCs w:val="28"/>
        </w:rPr>
        <w:t xml:space="preserve"> 建设单位:</w:t>
      </w:r>
      <w:r>
        <w:rPr>
          <w:rFonts w:hint="eastAsia" w:ascii="华文新魏" w:eastAsia="华文新魏"/>
          <w:color w:val="000000"/>
          <w:sz w:val="28"/>
          <w:szCs w:val="28"/>
          <w:lang w:eastAsia="zh-CN"/>
        </w:rPr>
        <w:t>贵州省肿瘤医院有限公司</w:t>
      </w:r>
    </w:p>
    <w:p>
      <w:pPr>
        <w:ind w:firstLine="560" w:firstLineChars="200"/>
        <w:rPr>
          <w:rFonts w:hint="eastAsia" w:ascii="仿宋_GB2312" w:eastAsia="仿宋_GB2312"/>
          <w:color w:val="000000"/>
          <w:sz w:val="28"/>
        </w:rPr>
      </w:pPr>
      <w:r>
        <w:rPr>
          <w:rFonts w:hint="eastAsia" w:ascii="华文新魏" w:eastAsia="华文新魏"/>
          <w:color w:val="000000"/>
          <w:sz w:val="28"/>
          <w:szCs w:val="28"/>
          <w:lang w:eastAsia="zh-CN"/>
        </w:rPr>
        <w:t>编制</w:t>
      </w:r>
      <w:r>
        <w:rPr>
          <w:rFonts w:hint="eastAsia" w:ascii="华文新魏" w:eastAsia="华文新魏"/>
          <w:color w:val="000000"/>
          <w:sz w:val="28"/>
          <w:szCs w:val="28"/>
        </w:rPr>
        <w:t>单位:</w:t>
      </w:r>
      <w:r>
        <w:rPr>
          <w:rFonts w:hint="eastAsia" w:ascii="华文新魏" w:eastAsia="华文新魏"/>
          <w:color w:val="000000"/>
          <w:sz w:val="28"/>
          <w:szCs w:val="28"/>
          <w:lang w:eastAsia="zh-CN"/>
        </w:rPr>
        <w:t>贵州省肿瘤医院有限公司</w:t>
      </w:r>
    </w:p>
    <w:p>
      <w:pPr>
        <w:rPr>
          <w:rFonts w:hint="eastAsia" w:ascii="仿宋_GB2312" w:eastAsia="仿宋_GB2312"/>
          <w:color w:val="000000"/>
          <w:sz w:val="28"/>
        </w:rPr>
      </w:pPr>
    </w:p>
    <w:p>
      <w:pPr>
        <w:rPr>
          <w:rFonts w:hint="eastAsia" w:ascii="华文新魏" w:eastAsia="华文新魏"/>
          <w:color w:val="000000"/>
          <w:sz w:val="28"/>
          <w:szCs w:val="28"/>
        </w:rPr>
      </w:pPr>
    </w:p>
    <w:p>
      <w:pPr>
        <w:jc w:val="center"/>
        <w:rPr>
          <w:rFonts w:hint="eastAsia" w:ascii="华文新魏" w:eastAsia="华文新魏"/>
          <w:color w:val="000000"/>
          <w:sz w:val="28"/>
          <w:szCs w:val="28"/>
          <w:lang w:val="en-US" w:eastAsia="zh-CN"/>
        </w:rPr>
      </w:pPr>
    </w:p>
    <w:p>
      <w:pPr>
        <w:jc w:val="center"/>
        <w:rPr>
          <w:rFonts w:hint="eastAsia" w:ascii="华文新魏" w:eastAsia="华文新魏"/>
          <w:color w:val="000000"/>
          <w:sz w:val="28"/>
          <w:szCs w:val="28"/>
          <w:lang w:val="en-US" w:eastAsia="zh-CN"/>
        </w:rPr>
      </w:pPr>
    </w:p>
    <w:p>
      <w:pPr>
        <w:jc w:val="center"/>
        <w:rPr>
          <w:rFonts w:hint="eastAsia" w:ascii="华文新魏" w:eastAsia="华文新魏"/>
          <w:color w:val="000000"/>
          <w:sz w:val="28"/>
          <w:szCs w:val="28"/>
          <w:lang w:val="en-US" w:eastAsia="zh-CN"/>
        </w:rPr>
      </w:pPr>
      <w:r>
        <w:rPr>
          <w:rFonts w:hint="eastAsia" w:ascii="华文新魏" w:eastAsia="华文新魏"/>
          <w:color w:val="000000"/>
          <w:sz w:val="28"/>
          <w:szCs w:val="28"/>
          <w:lang w:val="en-US" w:eastAsia="zh-CN"/>
        </w:rPr>
        <w:t>2018</w:t>
      </w:r>
      <w:r>
        <w:rPr>
          <w:rFonts w:hint="eastAsia" w:ascii="华文新魏" w:eastAsia="华文新魏"/>
          <w:color w:val="000000"/>
          <w:sz w:val="28"/>
          <w:szCs w:val="28"/>
        </w:rPr>
        <w:t>年</w:t>
      </w:r>
      <w:r>
        <w:rPr>
          <w:rFonts w:hint="eastAsia" w:ascii="华文新魏" w:eastAsia="华文新魏"/>
          <w:color w:val="000000"/>
          <w:sz w:val="28"/>
          <w:szCs w:val="28"/>
          <w:lang w:val="en-US" w:eastAsia="zh-CN"/>
        </w:rPr>
        <w:t>8</w:t>
      </w:r>
      <w:r>
        <w:rPr>
          <w:rFonts w:hint="eastAsia" w:ascii="华文新魏" w:eastAsia="华文新魏"/>
          <w:color w:val="000000"/>
          <w:sz w:val="28"/>
          <w:szCs w:val="28"/>
        </w:rPr>
        <w:t>月</w:t>
      </w:r>
      <w:r>
        <w:rPr>
          <w:rFonts w:hint="eastAsia" w:ascii="华文新魏" w:eastAsia="华文新魏"/>
          <w:color w:val="000000"/>
          <w:sz w:val="28"/>
          <w:szCs w:val="28"/>
          <w:lang w:val="en-US" w:eastAsia="zh-CN"/>
        </w:rPr>
        <w:t>09日</w:t>
      </w:r>
    </w:p>
    <w:p>
      <w:pPr>
        <w:rPr>
          <w:rFonts w:hint="eastAsia" w:ascii="华文新魏" w:eastAsia="华文新魏"/>
          <w:color w:val="000000"/>
          <w:sz w:val="28"/>
          <w:szCs w:val="28"/>
        </w:rPr>
      </w:pPr>
    </w:p>
    <w:p>
      <w:pPr>
        <w:spacing w:line="360" w:lineRule="auto"/>
        <w:rPr>
          <w:rFonts w:ascii="仿宋_GB2312" w:eastAsia="仿宋_GB2312"/>
          <w:color w:val="000000"/>
          <w:sz w:val="32"/>
        </w:rPr>
      </w:pPr>
    </w:p>
    <w:p>
      <w:pPr>
        <w:spacing w:line="360" w:lineRule="auto"/>
        <w:rPr>
          <w:rFonts w:ascii="仿宋_GB2312" w:eastAsia="仿宋_GB2312"/>
          <w:color w:val="000000"/>
          <w:sz w:val="32"/>
        </w:rPr>
      </w:pPr>
    </w:p>
    <w:p>
      <w:pPr>
        <w:spacing w:line="360" w:lineRule="auto"/>
        <w:rPr>
          <w:rFonts w:ascii="仿宋_GB2312" w:eastAsia="仿宋_GB2312"/>
          <w:color w:val="000000"/>
          <w:sz w:val="32"/>
        </w:rPr>
      </w:pPr>
    </w:p>
    <w:p>
      <w:pPr>
        <w:spacing w:line="360" w:lineRule="auto"/>
        <w:rPr>
          <w:rFonts w:ascii="仿宋_GB2312" w:eastAsia="仿宋_GB2312"/>
          <w:color w:val="000000"/>
          <w:sz w:val="28"/>
        </w:rPr>
      </w:pPr>
      <w:r>
        <w:rPr>
          <w:rFonts w:ascii="仿宋_GB2312" w:eastAsia="仿宋_GB2312"/>
          <w:color w:val="000000"/>
          <w:sz w:val="32"/>
        </w:rPr>
        <w:br w:type="textWrapping"/>
      </w:r>
      <w:r>
        <w:rPr>
          <w:rFonts w:hint="eastAsia" w:ascii="仿宋_GB2312" w:eastAsia="仿宋_GB2312"/>
          <w:b/>
          <w:color w:val="000000"/>
          <w:sz w:val="28"/>
        </w:rPr>
        <w:t>建设单位法人代表</w:t>
      </w:r>
      <w:r>
        <w:rPr>
          <w:rFonts w:ascii="仿宋_GB2312" w:eastAsia="仿宋_GB2312"/>
          <w:b/>
          <w:color w:val="000000"/>
          <w:sz w:val="28"/>
        </w:rPr>
        <w:t>:</w:t>
      </w:r>
      <w:r>
        <w:rPr>
          <w:rFonts w:ascii="仿宋_GB2312" w:eastAsia="仿宋_GB2312"/>
          <w:color w:val="000000"/>
          <w:sz w:val="28"/>
        </w:rPr>
        <w:tab/>
      </w:r>
      <w:r>
        <w:rPr>
          <w:rFonts w:hint="eastAsia" w:ascii="仿宋_GB2312" w:eastAsia="仿宋_GB2312"/>
          <w:color w:val="000000"/>
          <w:sz w:val="28"/>
        </w:rPr>
        <w:t xml:space="preserve">          （签字）</w:t>
      </w:r>
    </w:p>
    <w:p>
      <w:pPr>
        <w:spacing w:line="360" w:lineRule="auto"/>
        <w:rPr>
          <w:rFonts w:ascii="仿宋_GB2312" w:eastAsia="仿宋_GB2312"/>
          <w:color w:val="000000"/>
          <w:sz w:val="28"/>
        </w:rPr>
      </w:pPr>
      <w:r>
        <w:rPr>
          <w:rFonts w:hint="eastAsia" w:ascii="仿宋_GB2312" w:eastAsia="仿宋_GB2312"/>
          <w:b/>
          <w:color w:val="000000"/>
          <w:sz w:val="28"/>
        </w:rPr>
        <w:t>编制单位法人代表</w:t>
      </w:r>
      <w:r>
        <w:rPr>
          <w:rFonts w:ascii="仿宋_GB2312" w:eastAsia="仿宋_GB2312"/>
          <w:b/>
          <w:color w:val="000000"/>
          <w:sz w:val="28"/>
        </w:rPr>
        <w:t>:</w:t>
      </w:r>
      <w:r>
        <w:rPr>
          <w:rFonts w:ascii="仿宋_GB2312" w:eastAsia="仿宋_GB2312"/>
          <w:color w:val="000000"/>
          <w:sz w:val="28"/>
        </w:rPr>
        <w:tab/>
      </w:r>
      <w:r>
        <w:rPr>
          <w:rFonts w:hint="eastAsia" w:ascii="仿宋_GB2312" w:eastAsia="仿宋_GB2312"/>
          <w:color w:val="000000"/>
          <w:sz w:val="28"/>
        </w:rPr>
        <w:t xml:space="preserve">          （签字）</w:t>
      </w:r>
    </w:p>
    <w:p>
      <w:pPr>
        <w:spacing w:line="360" w:lineRule="auto"/>
        <w:rPr>
          <w:rFonts w:ascii="仿宋_GB2312" w:eastAsia="仿宋_GB2312"/>
          <w:b/>
          <w:color w:val="000000"/>
          <w:spacing w:val="7"/>
          <w:w w:val="79"/>
          <w:sz w:val="28"/>
        </w:rPr>
      </w:pPr>
      <w:r>
        <w:rPr>
          <w:rFonts w:hint="eastAsia" w:ascii="仿宋_GB2312" w:eastAsia="仿宋_GB2312"/>
          <w:b/>
          <w:color w:val="000000"/>
          <w:spacing w:val="20"/>
          <w:w w:val="79"/>
          <w:sz w:val="28"/>
        </w:rPr>
        <w:t>项  目  负 责</w:t>
      </w:r>
      <w:r>
        <w:rPr>
          <w:rFonts w:hint="eastAsia" w:ascii="仿宋_GB2312" w:eastAsia="仿宋_GB2312"/>
          <w:b/>
          <w:color w:val="000000"/>
          <w:spacing w:val="20"/>
          <w:w w:val="79"/>
          <w:sz w:val="28"/>
          <w:lang w:val="en-US" w:eastAsia="zh-CN"/>
        </w:rPr>
        <w:t xml:space="preserve"> </w:t>
      </w:r>
      <w:r>
        <w:rPr>
          <w:rFonts w:hint="eastAsia" w:ascii="仿宋_GB2312" w:eastAsia="仿宋_GB2312"/>
          <w:b/>
          <w:color w:val="000000"/>
          <w:spacing w:val="20"/>
          <w:w w:val="79"/>
          <w:sz w:val="28"/>
        </w:rPr>
        <w:t>人</w:t>
      </w:r>
      <w:r>
        <w:rPr>
          <w:rFonts w:ascii="仿宋_GB2312" w:eastAsia="仿宋_GB2312"/>
          <w:b/>
          <w:color w:val="000000"/>
          <w:spacing w:val="10"/>
          <w:w w:val="79"/>
          <w:sz w:val="28"/>
        </w:rPr>
        <w:t>:</w:t>
      </w:r>
    </w:p>
    <w:p>
      <w:pPr>
        <w:spacing w:line="360" w:lineRule="auto"/>
        <w:rPr>
          <w:rFonts w:hint="eastAsia" w:ascii="仿宋_GB2312" w:eastAsia="仿宋_GB2312"/>
          <w:b/>
          <w:color w:val="000000"/>
          <w:spacing w:val="7"/>
          <w:w w:val="79"/>
          <w:sz w:val="28"/>
        </w:rPr>
      </w:pPr>
      <w:r>
        <w:rPr>
          <w:rFonts w:hint="eastAsia" w:ascii="仿宋_GB2312" w:eastAsia="仿宋_GB2312"/>
          <w:b/>
          <w:color w:val="000000"/>
          <w:spacing w:val="141"/>
          <w:w w:val="79"/>
          <w:sz w:val="28"/>
        </w:rPr>
        <w:t>填</w:t>
      </w:r>
      <w:r>
        <w:rPr>
          <w:rFonts w:hint="eastAsia" w:ascii="仿宋_GB2312" w:eastAsia="仿宋_GB2312"/>
          <w:b/>
          <w:color w:val="000000"/>
          <w:spacing w:val="141"/>
          <w:w w:val="79"/>
          <w:sz w:val="28"/>
          <w:lang w:val="en-US" w:eastAsia="zh-CN"/>
        </w:rPr>
        <w:t xml:space="preserve"> </w:t>
      </w:r>
      <w:r>
        <w:rPr>
          <w:rFonts w:hint="eastAsia" w:ascii="仿宋_GB2312" w:eastAsia="仿宋_GB2312"/>
          <w:b/>
          <w:color w:val="000000"/>
          <w:spacing w:val="141"/>
          <w:w w:val="79"/>
          <w:sz w:val="28"/>
        </w:rPr>
        <w:t>表 人</w:t>
      </w:r>
      <w:r>
        <w:rPr>
          <w:rFonts w:hint="eastAsia" w:ascii="仿宋_GB2312" w:eastAsia="仿宋_GB2312"/>
          <w:b/>
          <w:color w:val="000000"/>
          <w:spacing w:val="2"/>
          <w:w w:val="79"/>
          <w:sz w:val="28"/>
        </w:rPr>
        <w:t>：</w:t>
      </w:r>
    </w:p>
    <w:p>
      <w:pPr>
        <w:spacing w:line="360" w:lineRule="auto"/>
        <w:rPr>
          <w:rFonts w:hint="eastAsia" w:ascii="仿宋_GB2312" w:eastAsia="仿宋_GB2312"/>
          <w:color w:val="000000"/>
          <w:sz w:val="28"/>
        </w:rPr>
      </w:pPr>
      <w:r>
        <w:rPr>
          <w:rFonts w:ascii="仿宋_GB2312" w:eastAsia="仿宋_GB2312"/>
          <w:color w:val="000000"/>
          <w:sz w:val="28"/>
        </w:rPr>
        <w:tab/>
      </w:r>
    </w:p>
    <w:p>
      <w:pPr>
        <w:spacing w:line="360" w:lineRule="auto"/>
        <w:rPr>
          <w:rFonts w:hint="eastAsia" w:ascii="仿宋_GB2312" w:eastAsia="仿宋_GB2312"/>
          <w:color w:val="000000"/>
          <w:sz w:val="28"/>
        </w:rPr>
      </w:pPr>
    </w:p>
    <w:p>
      <w:pPr>
        <w:tabs>
          <w:tab w:val="left" w:pos="984"/>
        </w:tabs>
        <w:spacing w:line="360" w:lineRule="auto"/>
        <w:rPr>
          <w:rFonts w:hint="eastAsia" w:ascii="仿宋_GB2312" w:eastAsia="仿宋_GB2312"/>
          <w:color w:val="000000"/>
          <w:sz w:val="28"/>
        </w:rPr>
      </w:pPr>
      <w:r>
        <w:rPr>
          <w:rFonts w:ascii="仿宋_GB2312" w:eastAsia="仿宋_GB2312"/>
          <w:color w:val="000000"/>
          <w:sz w:val="28"/>
        </w:rPr>
        <w:tab/>
      </w:r>
    </w:p>
    <w:p>
      <w:pPr>
        <w:tabs>
          <w:tab w:val="left" w:pos="984"/>
        </w:tabs>
        <w:spacing w:line="360" w:lineRule="auto"/>
        <w:rPr>
          <w:rFonts w:hint="eastAsia" w:ascii="仿宋_GB2312" w:eastAsia="仿宋_GB2312"/>
          <w:color w:val="000000"/>
          <w:sz w:val="28"/>
        </w:rPr>
      </w:pPr>
    </w:p>
    <w:p>
      <w:pPr>
        <w:spacing w:line="360" w:lineRule="auto"/>
        <w:rPr>
          <w:rFonts w:hint="eastAsia" w:ascii="仿宋_GB2312" w:eastAsia="仿宋_GB2312"/>
          <w:color w:val="000000"/>
          <w:sz w:val="28"/>
        </w:rPr>
      </w:pPr>
    </w:p>
    <w:p>
      <w:pPr>
        <w:spacing w:line="360" w:lineRule="auto"/>
        <w:rPr>
          <w:rFonts w:hint="eastAsia" w:ascii="仿宋_GB2312" w:eastAsia="仿宋_GB2312"/>
          <w:color w:val="000000"/>
          <w:sz w:val="28"/>
        </w:rPr>
      </w:pPr>
    </w:p>
    <w:p>
      <w:pPr>
        <w:spacing w:line="360" w:lineRule="auto"/>
        <w:rPr>
          <w:rFonts w:ascii="仿宋_GB2312" w:eastAsia="仿宋_GB2312"/>
          <w:color w:val="000000"/>
          <w:sz w:val="28"/>
        </w:rPr>
      </w:pPr>
    </w:p>
    <w:p>
      <w:pPr>
        <w:spacing w:line="360" w:lineRule="auto"/>
        <w:rPr>
          <w:rFonts w:ascii="仿宋_GB2312" w:eastAsia="仿宋_GB2312"/>
          <w:color w:val="000000"/>
          <w:sz w:val="28"/>
        </w:rPr>
      </w:pPr>
      <w:r>
        <w:rPr>
          <w:rFonts w:hint="eastAsia" w:ascii="仿宋_GB2312" w:eastAsia="仿宋_GB2312"/>
          <w:color w:val="000000"/>
          <w:sz w:val="28"/>
        </w:rPr>
        <w:t xml:space="preserve">建设单位 </w:t>
      </w:r>
      <w:r>
        <w:rPr>
          <w:rFonts w:hint="eastAsia" w:ascii="仿宋_GB2312" w:eastAsia="仿宋_GB2312"/>
          <w:color w:val="000000"/>
          <w:sz w:val="28"/>
          <w:lang w:val="en-US" w:eastAsia="zh-CN"/>
        </w:rPr>
        <w:t xml:space="preserve">     </w:t>
      </w:r>
      <w:r>
        <w:rPr>
          <w:rFonts w:hint="eastAsia" w:ascii="仿宋_GB2312" w:eastAsia="仿宋_GB2312"/>
          <w:color w:val="000000"/>
          <w:sz w:val="28"/>
        </w:rPr>
        <w:t>（盖章）        编制单位           （盖章）</w:t>
      </w:r>
    </w:p>
    <w:p>
      <w:pPr>
        <w:spacing w:line="360" w:lineRule="auto"/>
        <w:rPr>
          <w:rFonts w:ascii="仿宋_GB2312" w:eastAsia="仿宋_GB2312"/>
          <w:color w:val="000000"/>
          <w:sz w:val="28"/>
        </w:rPr>
      </w:pPr>
      <w:r>
        <w:rPr>
          <w:rFonts w:hint="eastAsia" w:ascii="仿宋_GB2312" w:eastAsia="仿宋_GB2312"/>
          <w:color w:val="000000"/>
          <w:sz w:val="28"/>
        </w:rPr>
        <w:t>电话</w:t>
      </w:r>
      <w:r>
        <w:rPr>
          <w:rFonts w:ascii="仿宋_GB2312" w:eastAsia="仿宋_GB2312"/>
          <w:color w:val="000000"/>
          <w:sz w:val="28"/>
        </w:rPr>
        <w:t xml:space="preserve">: </w:t>
      </w:r>
      <w:r>
        <w:rPr>
          <w:rFonts w:hint="eastAsia" w:ascii="仿宋_GB2312" w:eastAsia="仿宋_GB2312"/>
          <w:color w:val="000000"/>
          <w:sz w:val="28"/>
        </w:rPr>
        <w:t xml:space="preserve">                        电话</w:t>
      </w:r>
      <w:r>
        <w:rPr>
          <w:rFonts w:ascii="仿宋_GB2312" w:eastAsia="仿宋_GB2312"/>
          <w:color w:val="000000"/>
          <w:sz w:val="28"/>
        </w:rPr>
        <w:t xml:space="preserve">: </w:t>
      </w:r>
    </w:p>
    <w:p>
      <w:pPr>
        <w:spacing w:line="360" w:lineRule="auto"/>
        <w:rPr>
          <w:rFonts w:ascii="仿宋_GB2312" w:eastAsia="仿宋_GB2312"/>
          <w:color w:val="000000"/>
          <w:sz w:val="28"/>
        </w:rPr>
      </w:pPr>
      <w:r>
        <w:rPr>
          <w:rFonts w:hint="eastAsia" w:ascii="仿宋_GB2312" w:eastAsia="仿宋_GB2312"/>
          <w:color w:val="000000"/>
          <w:sz w:val="28"/>
        </w:rPr>
        <w:t>传真</w:t>
      </w:r>
      <w:r>
        <w:rPr>
          <w:rFonts w:ascii="仿宋_GB2312" w:eastAsia="仿宋_GB2312"/>
          <w:color w:val="000000"/>
          <w:sz w:val="28"/>
        </w:rPr>
        <w:t>:</w:t>
      </w:r>
      <w:r>
        <w:rPr>
          <w:rFonts w:hint="eastAsia" w:ascii="仿宋_GB2312" w:eastAsia="仿宋_GB2312"/>
          <w:color w:val="000000"/>
          <w:sz w:val="28"/>
        </w:rPr>
        <w:t xml:space="preserve">                         传真</w:t>
      </w:r>
      <w:r>
        <w:rPr>
          <w:rFonts w:ascii="仿宋_GB2312" w:eastAsia="仿宋_GB2312"/>
          <w:color w:val="000000"/>
          <w:sz w:val="28"/>
        </w:rPr>
        <w:t>:</w:t>
      </w:r>
    </w:p>
    <w:p>
      <w:pPr>
        <w:spacing w:line="360" w:lineRule="auto"/>
        <w:rPr>
          <w:rFonts w:ascii="仿宋_GB2312" w:eastAsia="仿宋_GB2312"/>
          <w:color w:val="000000"/>
          <w:sz w:val="28"/>
        </w:rPr>
      </w:pPr>
      <w:r>
        <w:rPr>
          <w:rFonts w:hint="eastAsia" w:ascii="仿宋_GB2312" w:eastAsia="仿宋_GB2312"/>
          <w:color w:val="000000"/>
          <w:sz w:val="28"/>
        </w:rPr>
        <w:t>邮编</w:t>
      </w:r>
      <w:r>
        <w:rPr>
          <w:rFonts w:ascii="仿宋_GB2312" w:eastAsia="仿宋_GB2312"/>
          <w:color w:val="000000"/>
          <w:sz w:val="28"/>
        </w:rPr>
        <w:t xml:space="preserve">: </w:t>
      </w:r>
      <w:r>
        <w:rPr>
          <w:rFonts w:hint="eastAsia" w:ascii="仿宋_GB2312" w:eastAsia="仿宋_GB2312"/>
          <w:color w:val="000000"/>
          <w:sz w:val="28"/>
        </w:rPr>
        <w:t xml:space="preserve">                        邮编</w:t>
      </w:r>
      <w:r>
        <w:rPr>
          <w:rFonts w:ascii="仿宋_GB2312" w:eastAsia="仿宋_GB2312"/>
          <w:color w:val="000000"/>
          <w:sz w:val="28"/>
        </w:rPr>
        <w:t xml:space="preserve">: </w:t>
      </w: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ascii="仿宋_GB2312" w:eastAsia="仿宋_GB2312"/>
          <w:color w:val="000000"/>
          <w:sz w:val="28"/>
        </w:rPr>
      </w:pPr>
      <w:r>
        <w:rPr>
          <w:rFonts w:hint="eastAsia" w:ascii="仿宋_GB2312" w:eastAsia="仿宋_GB2312"/>
          <w:color w:val="000000"/>
          <w:sz w:val="28"/>
        </w:rPr>
        <w:t>地址</w:t>
      </w:r>
      <w:r>
        <w:rPr>
          <w:rFonts w:ascii="仿宋_GB2312" w:eastAsia="仿宋_GB2312"/>
          <w:color w:val="000000"/>
          <w:sz w:val="28"/>
        </w:rPr>
        <w:t xml:space="preserve">: </w:t>
      </w:r>
      <w:r>
        <w:rPr>
          <w:rFonts w:hint="eastAsia" w:ascii="仿宋_GB2312" w:eastAsia="仿宋_GB2312"/>
          <w:color w:val="000000"/>
          <w:sz w:val="28"/>
        </w:rPr>
        <w:t xml:space="preserve">                        地址</w:t>
      </w:r>
      <w:r>
        <w:rPr>
          <w:rFonts w:ascii="仿宋_GB2312" w:eastAsia="仿宋_GB2312"/>
          <w:color w:val="000000"/>
          <w:sz w:val="28"/>
        </w:rPr>
        <w:t>:</w:t>
      </w: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ascii="仿宋_GB2312" w:eastAsia="仿宋_GB2312"/>
          <w:color w:val="000000"/>
          <w:sz w:val="28"/>
        </w:rPr>
      </w:pPr>
    </w:p>
    <w:p>
      <w:pPr>
        <w:spacing w:after="0" w:afterLines="0" w:line="360" w:lineRule="auto"/>
        <w:rPr>
          <w:rFonts w:hAnsi="Arial" w:eastAsia="仿宋_GB2312"/>
          <w:b/>
          <w:color w:val="000000"/>
          <w:sz w:val="21"/>
          <w:szCs w:val="21"/>
        </w:rPr>
      </w:pPr>
    </w:p>
    <w:p>
      <w:pPr>
        <w:spacing w:after="0" w:afterLines="0" w:line="360" w:lineRule="auto"/>
        <w:rPr>
          <w:rFonts w:hint="eastAsia" w:hAnsi="Arial" w:eastAsia="仿宋_GB2312" w:cs="Times New Roman"/>
          <w:b/>
          <w:color w:val="000000"/>
          <w:sz w:val="32"/>
          <w:szCs w:val="32"/>
          <w:lang w:eastAsia="zh-CN"/>
        </w:rPr>
      </w:pPr>
      <w:r>
        <w:rPr>
          <w:rFonts w:hint="eastAsia" w:hAnsi="Arial" w:eastAsia="仿宋_GB2312" w:cs="Times New Roman"/>
          <w:b/>
          <w:color w:val="000000"/>
          <w:sz w:val="32"/>
          <w:szCs w:val="32"/>
          <w:lang w:eastAsia="zh-CN"/>
        </w:rPr>
        <w:t>附件目录：</w:t>
      </w:r>
    </w:p>
    <w:p>
      <w:pPr>
        <w:keepNext w:val="0"/>
        <w:keepLines w:val="0"/>
        <w:pageBreakBefore w:val="0"/>
        <w:widowControl/>
        <w:kinsoku/>
        <w:wordWrap/>
        <w:overflowPunct/>
        <w:topLinePunct w:val="0"/>
        <w:autoSpaceDE/>
        <w:autoSpaceDN/>
        <w:bidi w:val="0"/>
        <w:adjustRightInd w:val="0"/>
        <w:snapToGrid w:val="0"/>
        <w:spacing w:after="157" w:afterLines="50"/>
        <w:jc w:val="left"/>
        <w:textAlignment w:val="auto"/>
        <w:outlineLvl w:val="9"/>
        <w:rPr>
          <w:rFonts w:hint="default" w:ascii="Times New Roman" w:hAnsi="Times New Roman" w:eastAsia="宋体" w:cs="Times New Roman"/>
          <w:color w:val="000000"/>
          <w:sz w:val="28"/>
          <w:szCs w:val="28"/>
          <w:lang w:val="en-US" w:eastAsia="zh-CN"/>
        </w:rPr>
      </w:pPr>
      <w:r>
        <w:rPr>
          <w:rFonts w:hint="default" w:ascii="Times New Roman" w:hAnsi="Times New Roman" w:eastAsia="宋体" w:cs="Times New Roman"/>
          <w:color w:val="000000"/>
          <w:sz w:val="28"/>
          <w:szCs w:val="28"/>
          <w:lang w:val="en-US" w:eastAsia="zh-CN"/>
        </w:rPr>
        <w:t>附件1、《</w:t>
      </w:r>
      <w:r>
        <w:rPr>
          <w:rFonts w:hint="eastAsia" w:ascii="Times New Roman" w:hAnsi="Times New Roman" w:eastAsia="宋体" w:cs="Times New Roman"/>
          <w:color w:val="000000"/>
          <w:sz w:val="28"/>
          <w:szCs w:val="28"/>
          <w:lang w:val="en-US" w:eastAsia="zh-CN"/>
        </w:rPr>
        <w:t>云岩区头桥第二卫生服务站</w:t>
      </w:r>
      <w:r>
        <w:rPr>
          <w:rFonts w:hint="default" w:ascii="Times New Roman" w:hAnsi="Times New Roman" w:eastAsia="宋体" w:cs="Times New Roman"/>
          <w:color w:val="000000"/>
          <w:sz w:val="28"/>
          <w:szCs w:val="28"/>
          <w:lang w:val="en-US" w:eastAsia="zh-CN"/>
        </w:rPr>
        <w:t>建设项目监测报告》，贵州瑞思科环境科技有限公司，（GZRSK-</w:t>
      </w:r>
      <w:r>
        <w:rPr>
          <w:rFonts w:hint="eastAsia" w:ascii="Times New Roman" w:hAnsi="Times New Roman" w:eastAsia="宋体" w:cs="Times New Roman"/>
          <w:color w:val="000000"/>
          <w:sz w:val="28"/>
          <w:szCs w:val="28"/>
          <w:lang w:val="en-US" w:eastAsia="zh-CN"/>
        </w:rPr>
        <w:t>161</w:t>
      </w:r>
      <w:r>
        <w:rPr>
          <w:rFonts w:hint="default" w:ascii="Times New Roman" w:hAnsi="Times New Roman" w:eastAsia="宋体" w:cs="Times New Roman"/>
          <w:color w:val="000000"/>
          <w:sz w:val="28"/>
          <w:szCs w:val="28"/>
          <w:lang w:val="en-US" w:eastAsia="zh-CN"/>
        </w:rPr>
        <w:t>-2018），2018.</w:t>
      </w:r>
      <w:r>
        <w:rPr>
          <w:rFonts w:hint="eastAsia" w:ascii="Times New Roman" w:hAnsi="Times New Roman" w:eastAsia="宋体" w:cs="Times New Roman"/>
          <w:color w:val="000000"/>
          <w:sz w:val="28"/>
          <w:szCs w:val="28"/>
          <w:lang w:val="en-US" w:eastAsia="zh-CN"/>
        </w:rPr>
        <w:t>7</w:t>
      </w:r>
      <w:r>
        <w:rPr>
          <w:rFonts w:hint="default" w:ascii="Times New Roman" w:hAnsi="Times New Roman" w:eastAsia="宋体" w:cs="Times New Roman"/>
          <w:color w:val="000000"/>
          <w:sz w:val="28"/>
          <w:szCs w:val="28"/>
          <w:lang w:val="en-US" w:eastAsia="zh-CN"/>
        </w:rPr>
        <w:t>.</w:t>
      </w:r>
      <w:r>
        <w:rPr>
          <w:rFonts w:hint="eastAsia" w:ascii="Times New Roman" w:hAnsi="Times New Roman" w:eastAsia="宋体" w:cs="Times New Roman"/>
          <w:color w:val="000000"/>
          <w:sz w:val="28"/>
          <w:szCs w:val="28"/>
          <w:lang w:val="en-US" w:eastAsia="zh-CN"/>
        </w:rPr>
        <w:t>23</w:t>
      </w:r>
      <w:r>
        <w:rPr>
          <w:rFonts w:hint="default" w:ascii="Times New Roman" w:hAnsi="Times New Roman" w:eastAsia="宋体" w:cs="Times New Roman"/>
          <w:color w:val="000000"/>
          <w:sz w:val="28"/>
          <w:szCs w:val="28"/>
          <w:lang w:val="en-US" w:eastAsia="zh-CN"/>
        </w:rPr>
        <w:t>。</w:t>
      </w:r>
    </w:p>
    <w:p>
      <w:pPr>
        <w:keepNext w:val="0"/>
        <w:keepLines w:val="0"/>
        <w:pageBreakBefore w:val="0"/>
        <w:widowControl/>
        <w:kinsoku/>
        <w:wordWrap/>
        <w:overflowPunct/>
        <w:topLinePunct w:val="0"/>
        <w:autoSpaceDE/>
        <w:autoSpaceDN/>
        <w:bidi w:val="0"/>
        <w:adjustRightInd w:val="0"/>
        <w:snapToGrid w:val="0"/>
        <w:spacing w:after="157" w:afterLines="50"/>
        <w:jc w:val="left"/>
        <w:textAlignment w:val="auto"/>
        <w:outlineLvl w:val="9"/>
        <w:rPr>
          <w:rFonts w:hint="default" w:ascii="Times New Roman" w:hAnsi="Times New Roman" w:eastAsia="宋体" w:cs="Times New Roman"/>
          <w:color w:val="000000"/>
          <w:sz w:val="28"/>
          <w:szCs w:val="28"/>
          <w:lang w:val="en-US" w:eastAsia="zh-CN"/>
        </w:rPr>
      </w:pPr>
      <w:r>
        <w:rPr>
          <w:rFonts w:hint="default" w:ascii="Times New Roman" w:hAnsi="Times New Roman" w:eastAsia="宋体" w:cs="Times New Roman"/>
          <w:color w:val="000000"/>
          <w:sz w:val="28"/>
          <w:szCs w:val="28"/>
          <w:lang w:val="en-US" w:eastAsia="zh-CN"/>
        </w:rPr>
        <w:t>附件2、《</w:t>
      </w:r>
      <w:r>
        <w:rPr>
          <w:rFonts w:hint="eastAsia" w:ascii="Times New Roman" w:hAnsi="Times New Roman" w:eastAsia="宋体" w:cs="Times New Roman"/>
          <w:color w:val="000000"/>
          <w:sz w:val="28"/>
          <w:szCs w:val="28"/>
          <w:lang w:val="en-US" w:eastAsia="zh-CN"/>
        </w:rPr>
        <w:t>云岩区头桥第二卫生服务站建设项目</w:t>
      </w:r>
      <w:r>
        <w:rPr>
          <w:rFonts w:hint="default" w:ascii="Times New Roman" w:hAnsi="Times New Roman" w:eastAsia="宋体" w:cs="Times New Roman"/>
          <w:color w:val="000000"/>
          <w:sz w:val="28"/>
          <w:szCs w:val="28"/>
          <w:lang w:val="en-US" w:eastAsia="zh-CN"/>
        </w:rPr>
        <w:t>环境影响报告</w:t>
      </w:r>
      <w:r>
        <w:rPr>
          <w:rFonts w:hint="eastAsia" w:ascii="Times New Roman" w:hAnsi="Times New Roman" w:eastAsia="宋体" w:cs="Times New Roman"/>
          <w:color w:val="000000"/>
          <w:sz w:val="28"/>
          <w:szCs w:val="28"/>
          <w:lang w:val="en-US" w:eastAsia="zh-CN"/>
        </w:rPr>
        <w:t>表</w:t>
      </w:r>
      <w:r>
        <w:rPr>
          <w:rFonts w:hint="default" w:ascii="Times New Roman" w:hAnsi="Times New Roman" w:eastAsia="宋体" w:cs="Times New Roman"/>
          <w:color w:val="000000"/>
          <w:sz w:val="28"/>
          <w:szCs w:val="28"/>
          <w:lang w:val="en-US" w:eastAsia="zh-CN"/>
        </w:rPr>
        <w:t>》，</w:t>
      </w:r>
      <w:r>
        <w:rPr>
          <w:rFonts w:hint="eastAsia" w:ascii="Times New Roman" w:hAnsi="Times New Roman" w:eastAsia="宋体" w:cs="Times New Roman"/>
          <w:color w:val="000000"/>
          <w:sz w:val="28"/>
          <w:szCs w:val="28"/>
          <w:lang w:val="en-US" w:eastAsia="zh-CN"/>
        </w:rPr>
        <w:t>贵州大学科技园发展有限公司</w:t>
      </w:r>
      <w:r>
        <w:rPr>
          <w:rFonts w:hint="default" w:ascii="Times New Roman" w:hAnsi="Times New Roman" w:eastAsia="宋体" w:cs="Times New Roman"/>
          <w:color w:val="000000"/>
          <w:sz w:val="28"/>
          <w:szCs w:val="28"/>
          <w:lang w:val="en-US" w:eastAsia="zh-CN"/>
        </w:rPr>
        <w:t>，201</w:t>
      </w:r>
      <w:r>
        <w:rPr>
          <w:rFonts w:hint="eastAsia" w:ascii="Times New Roman" w:hAnsi="Times New Roman" w:eastAsia="宋体" w:cs="Times New Roman"/>
          <w:color w:val="000000"/>
          <w:sz w:val="28"/>
          <w:szCs w:val="28"/>
          <w:lang w:val="en-US" w:eastAsia="zh-CN"/>
        </w:rPr>
        <w:t>7</w:t>
      </w:r>
      <w:r>
        <w:rPr>
          <w:rFonts w:hint="default" w:ascii="Times New Roman" w:hAnsi="Times New Roman" w:eastAsia="宋体" w:cs="Times New Roman"/>
          <w:color w:val="000000"/>
          <w:sz w:val="28"/>
          <w:szCs w:val="28"/>
          <w:lang w:val="en-US" w:eastAsia="zh-CN"/>
        </w:rPr>
        <w:t>.</w:t>
      </w:r>
      <w:r>
        <w:rPr>
          <w:rFonts w:hint="eastAsia" w:ascii="Times New Roman" w:hAnsi="Times New Roman" w:eastAsia="宋体" w:cs="Times New Roman"/>
          <w:color w:val="000000"/>
          <w:sz w:val="28"/>
          <w:szCs w:val="28"/>
          <w:lang w:val="en-US" w:eastAsia="zh-CN"/>
        </w:rPr>
        <w:t>7</w:t>
      </w:r>
      <w:r>
        <w:rPr>
          <w:rFonts w:hint="default" w:ascii="Times New Roman" w:hAnsi="Times New Roman" w:eastAsia="宋体" w:cs="Times New Roman"/>
          <w:color w:val="000000"/>
          <w:sz w:val="28"/>
          <w:szCs w:val="28"/>
          <w:lang w:val="en-US" w:eastAsia="zh-CN"/>
        </w:rPr>
        <w:t>。</w:t>
      </w:r>
    </w:p>
    <w:p>
      <w:pPr>
        <w:keepNext w:val="0"/>
        <w:keepLines w:val="0"/>
        <w:pageBreakBefore w:val="0"/>
        <w:widowControl/>
        <w:kinsoku/>
        <w:wordWrap/>
        <w:overflowPunct/>
        <w:topLinePunct w:val="0"/>
        <w:autoSpaceDE/>
        <w:autoSpaceDN/>
        <w:bidi w:val="0"/>
        <w:adjustRightInd w:val="0"/>
        <w:snapToGrid w:val="0"/>
        <w:spacing w:after="157" w:afterLines="50"/>
        <w:jc w:val="left"/>
        <w:textAlignment w:val="auto"/>
        <w:outlineLvl w:val="9"/>
        <w:rPr>
          <w:rFonts w:hint="default" w:ascii="Times New Roman" w:hAnsi="Times New Roman" w:eastAsia="宋体" w:cs="Times New Roman"/>
          <w:color w:val="000000"/>
          <w:sz w:val="28"/>
          <w:szCs w:val="28"/>
          <w:lang w:val="en-US" w:eastAsia="zh-CN"/>
        </w:rPr>
      </w:pPr>
      <w:r>
        <w:rPr>
          <w:rFonts w:hint="default" w:ascii="Times New Roman" w:hAnsi="Times New Roman" w:eastAsia="宋体" w:cs="Times New Roman"/>
          <w:color w:val="000000"/>
          <w:sz w:val="28"/>
          <w:szCs w:val="28"/>
          <w:lang w:val="en-US" w:eastAsia="zh-CN"/>
        </w:rPr>
        <w:t>附件3、</w:t>
      </w:r>
      <w:r>
        <w:rPr>
          <w:rFonts w:hint="eastAsia" w:ascii="Times New Roman" w:hAnsi="Times New Roman" w:eastAsia="宋体" w:cs="Times New Roman"/>
          <w:color w:val="000000"/>
          <w:sz w:val="28"/>
          <w:szCs w:val="28"/>
          <w:lang w:val="en-US" w:eastAsia="zh-CN"/>
        </w:rPr>
        <w:t>云岩区</w:t>
      </w:r>
      <w:r>
        <w:rPr>
          <w:rFonts w:hint="default" w:ascii="Times New Roman" w:hAnsi="Times New Roman" w:eastAsia="宋体" w:cs="Times New Roman"/>
          <w:color w:val="000000"/>
          <w:sz w:val="28"/>
          <w:szCs w:val="28"/>
          <w:lang w:val="en-US" w:eastAsia="zh-CN"/>
        </w:rPr>
        <w:t>环境保护局关于对《</w:t>
      </w:r>
      <w:r>
        <w:rPr>
          <w:rFonts w:hint="eastAsia" w:ascii="Times New Roman" w:hAnsi="Times New Roman" w:eastAsia="宋体" w:cs="Times New Roman"/>
          <w:color w:val="000000"/>
          <w:sz w:val="28"/>
          <w:szCs w:val="28"/>
          <w:lang w:val="en-US" w:eastAsia="zh-CN"/>
        </w:rPr>
        <w:t>云岩区头桥第二卫生服务站建设项目</w:t>
      </w:r>
      <w:r>
        <w:rPr>
          <w:rFonts w:hint="default" w:ascii="Times New Roman" w:hAnsi="Times New Roman" w:eastAsia="宋体" w:cs="Times New Roman"/>
          <w:color w:val="000000"/>
          <w:sz w:val="28"/>
          <w:szCs w:val="28"/>
          <w:lang w:val="en-US" w:eastAsia="zh-CN"/>
        </w:rPr>
        <w:t>环境影响报告</w:t>
      </w:r>
      <w:r>
        <w:rPr>
          <w:rFonts w:hint="eastAsia" w:ascii="Times New Roman" w:hAnsi="Times New Roman" w:eastAsia="宋体" w:cs="Times New Roman"/>
          <w:color w:val="000000"/>
          <w:sz w:val="28"/>
          <w:szCs w:val="28"/>
          <w:lang w:val="en-US" w:eastAsia="zh-CN"/>
        </w:rPr>
        <w:t>表</w:t>
      </w:r>
      <w:r>
        <w:rPr>
          <w:rFonts w:hint="default" w:ascii="Times New Roman" w:hAnsi="Times New Roman" w:eastAsia="宋体" w:cs="Times New Roman"/>
          <w:color w:val="000000"/>
          <w:sz w:val="28"/>
          <w:szCs w:val="28"/>
          <w:lang w:val="en-US" w:eastAsia="zh-CN"/>
        </w:rPr>
        <w:t>》的批复，</w:t>
      </w:r>
      <w:r>
        <w:rPr>
          <w:rFonts w:hint="eastAsia" w:ascii="Times New Roman" w:hAnsi="Times New Roman" w:eastAsia="宋体" w:cs="Times New Roman"/>
          <w:color w:val="000000"/>
          <w:sz w:val="28"/>
          <w:szCs w:val="28"/>
          <w:lang w:val="en-US" w:eastAsia="zh-CN"/>
        </w:rPr>
        <w:t>云岩区</w:t>
      </w:r>
      <w:r>
        <w:rPr>
          <w:rFonts w:hint="default" w:ascii="Times New Roman" w:hAnsi="Times New Roman" w:eastAsia="宋体" w:cs="Times New Roman"/>
          <w:color w:val="000000"/>
          <w:sz w:val="28"/>
          <w:szCs w:val="28"/>
          <w:lang w:val="en-US" w:eastAsia="zh-CN"/>
        </w:rPr>
        <w:t>环境保护局，（</w:t>
      </w:r>
      <w:r>
        <w:rPr>
          <w:rFonts w:hint="eastAsia" w:ascii="Times New Roman" w:hAnsi="Times New Roman" w:eastAsia="宋体" w:cs="Times New Roman"/>
          <w:color w:val="000000"/>
          <w:sz w:val="28"/>
          <w:szCs w:val="28"/>
          <w:lang w:val="en-US" w:eastAsia="zh-CN"/>
        </w:rPr>
        <w:t>云</w:t>
      </w:r>
      <w:r>
        <w:rPr>
          <w:rFonts w:hint="default" w:ascii="Times New Roman" w:hAnsi="Times New Roman" w:eastAsia="宋体" w:cs="Times New Roman"/>
          <w:color w:val="000000"/>
          <w:sz w:val="28"/>
          <w:szCs w:val="28"/>
          <w:lang w:val="en-US" w:eastAsia="zh-CN"/>
        </w:rPr>
        <w:t>环审[2017]</w:t>
      </w:r>
      <w:r>
        <w:rPr>
          <w:rFonts w:hint="eastAsia" w:ascii="Times New Roman" w:hAnsi="Times New Roman" w:eastAsia="宋体" w:cs="Times New Roman"/>
          <w:color w:val="000000"/>
          <w:sz w:val="28"/>
          <w:szCs w:val="28"/>
          <w:lang w:val="en-US" w:eastAsia="zh-CN"/>
        </w:rPr>
        <w:t>059</w:t>
      </w:r>
      <w:r>
        <w:rPr>
          <w:rFonts w:hint="default" w:ascii="Times New Roman" w:hAnsi="Times New Roman" w:eastAsia="宋体" w:cs="Times New Roman"/>
          <w:color w:val="000000"/>
          <w:sz w:val="28"/>
          <w:szCs w:val="28"/>
          <w:lang w:val="en-US" w:eastAsia="zh-CN"/>
        </w:rPr>
        <w:t>号）</w:t>
      </w:r>
      <w:r>
        <w:rPr>
          <w:rFonts w:hint="eastAsia" w:ascii="Times New Roman" w:hAnsi="Times New Roman" w:eastAsia="宋体" w:cs="Times New Roman"/>
          <w:color w:val="000000"/>
          <w:sz w:val="28"/>
          <w:szCs w:val="28"/>
          <w:lang w:val="en-US" w:eastAsia="zh-CN"/>
        </w:rPr>
        <w:t>，</w:t>
      </w:r>
      <w:r>
        <w:rPr>
          <w:rFonts w:hint="default" w:ascii="Times New Roman" w:hAnsi="Times New Roman" w:eastAsia="宋体" w:cs="Times New Roman"/>
          <w:color w:val="000000"/>
          <w:sz w:val="28"/>
          <w:szCs w:val="28"/>
          <w:lang w:val="en-US" w:eastAsia="zh-CN"/>
        </w:rPr>
        <w:t>2017.</w:t>
      </w:r>
      <w:r>
        <w:rPr>
          <w:rFonts w:hint="eastAsia" w:ascii="Times New Roman" w:hAnsi="Times New Roman" w:eastAsia="宋体" w:cs="Times New Roman"/>
          <w:color w:val="000000"/>
          <w:sz w:val="28"/>
          <w:szCs w:val="28"/>
          <w:lang w:val="en-US" w:eastAsia="zh-CN"/>
        </w:rPr>
        <w:t>9</w:t>
      </w:r>
      <w:r>
        <w:rPr>
          <w:rFonts w:hint="default" w:ascii="Times New Roman" w:hAnsi="Times New Roman" w:eastAsia="宋体" w:cs="Times New Roman"/>
          <w:color w:val="000000"/>
          <w:sz w:val="28"/>
          <w:szCs w:val="28"/>
          <w:lang w:val="en-US" w:eastAsia="zh-CN"/>
        </w:rPr>
        <w:t>.</w:t>
      </w:r>
      <w:r>
        <w:rPr>
          <w:rFonts w:hint="eastAsia" w:ascii="Times New Roman" w:hAnsi="Times New Roman" w:eastAsia="宋体" w:cs="Times New Roman"/>
          <w:color w:val="000000"/>
          <w:sz w:val="28"/>
          <w:szCs w:val="28"/>
          <w:lang w:val="en-US" w:eastAsia="zh-CN"/>
        </w:rPr>
        <w:t>19</w:t>
      </w:r>
      <w:r>
        <w:rPr>
          <w:rFonts w:hint="default" w:ascii="Times New Roman" w:hAnsi="Times New Roman" w:eastAsia="宋体" w:cs="Times New Roman"/>
          <w:color w:val="000000"/>
          <w:sz w:val="28"/>
          <w:szCs w:val="28"/>
          <w:lang w:val="en-US" w:eastAsia="zh-CN"/>
        </w:rPr>
        <w:t>。</w:t>
      </w:r>
    </w:p>
    <w:p>
      <w:pPr>
        <w:keepNext w:val="0"/>
        <w:keepLines w:val="0"/>
        <w:pageBreakBefore w:val="0"/>
        <w:widowControl/>
        <w:kinsoku/>
        <w:wordWrap/>
        <w:overflowPunct/>
        <w:topLinePunct w:val="0"/>
        <w:autoSpaceDE/>
        <w:autoSpaceDN/>
        <w:bidi w:val="0"/>
        <w:adjustRightInd w:val="0"/>
        <w:snapToGrid w:val="0"/>
        <w:spacing w:after="157" w:afterLines="50"/>
        <w:jc w:val="left"/>
        <w:textAlignment w:val="auto"/>
        <w:outlineLvl w:val="9"/>
        <w:rPr>
          <w:rFonts w:hAnsi="Arial" w:eastAsia="仿宋_GB2312"/>
          <w:b/>
          <w:color w:val="000000"/>
          <w:sz w:val="28"/>
          <w:szCs w:val="28"/>
        </w:rPr>
      </w:pPr>
      <w:r>
        <w:rPr>
          <w:rFonts w:hint="default" w:ascii="Times New Roman" w:hAnsi="Times New Roman" w:eastAsia="宋体" w:cs="Times New Roman"/>
          <w:color w:val="000000"/>
          <w:sz w:val="28"/>
          <w:szCs w:val="28"/>
          <w:lang w:val="en-US" w:eastAsia="zh-CN"/>
        </w:rPr>
        <w:t>附件4、</w:t>
      </w:r>
      <w:r>
        <w:rPr>
          <w:rFonts w:hint="eastAsia" w:ascii="Times New Roman" w:hAnsi="Times New Roman" w:eastAsia="宋体" w:cs="Times New Roman"/>
          <w:color w:val="000000"/>
          <w:sz w:val="28"/>
          <w:szCs w:val="28"/>
          <w:lang w:val="en-US" w:eastAsia="zh-CN"/>
        </w:rPr>
        <w:t>废</w:t>
      </w:r>
      <w:r>
        <w:rPr>
          <w:rFonts w:hint="default" w:ascii="Times New Roman" w:hAnsi="Times New Roman" w:eastAsia="宋体" w:cs="Times New Roman"/>
          <w:color w:val="000000"/>
          <w:sz w:val="28"/>
          <w:szCs w:val="28"/>
          <w:lang w:val="en-US" w:eastAsia="zh-CN"/>
        </w:rPr>
        <w:t>水</w:t>
      </w:r>
      <w:r>
        <w:rPr>
          <w:rFonts w:hint="eastAsia" w:ascii="Times New Roman" w:hAnsi="Times New Roman" w:eastAsia="宋体" w:cs="Times New Roman"/>
          <w:color w:val="000000"/>
          <w:sz w:val="28"/>
          <w:szCs w:val="28"/>
          <w:lang w:val="en-US" w:eastAsia="zh-CN"/>
        </w:rPr>
        <w:t>处</w:t>
      </w:r>
      <w:r>
        <w:rPr>
          <w:rFonts w:hint="default" w:ascii="Times New Roman" w:hAnsi="Times New Roman" w:eastAsia="宋体" w:cs="Times New Roman"/>
          <w:color w:val="000000"/>
          <w:sz w:val="28"/>
          <w:szCs w:val="28"/>
          <w:lang w:val="en-US" w:eastAsia="zh-CN"/>
        </w:rPr>
        <w:t>理</w:t>
      </w:r>
      <w:r>
        <w:rPr>
          <w:rFonts w:hint="eastAsia" w:ascii="Times New Roman" w:hAnsi="Times New Roman" w:eastAsia="宋体" w:cs="Times New Roman"/>
          <w:color w:val="000000"/>
          <w:sz w:val="28"/>
          <w:szCs w:val="28"/>
          <w:lang w:val="en-US" w:eastAsia="zh-CN"/>
        </w:rPr>
        <w:t>工程</w:t>
      </w:r>
      <w:r>
        <w:rPr>
          <w:rFonts w:hint="default" w:ascii="Times New Roman" w:hAnsi="Times New Roman" w:eastAsia="宋体" w:cs="Times New Roman"/>
          <w:color w:val="000000"/>
          <w:sz w:val="28"/>
          <w:szCs w:val="28"/>
          <w:lang w:val="en-US" w:eastAsia="zh-CN"/>
        </w:rPr>
        <w:t>合同</w:t>
      </w:r>
      <w:r>
        <w:rPr>
          <w:rFonts w:hint="eastAsia" w:ascii="Times New Roman" w:hAnsi="Times New Roman" w:eastAsia="宋体" w:cs="Times New Roman"/>
          <w:color w:val="000000"/>
          <w:sz w:val="28"/>
          <w:szCs w:val="28"/>
          <w:lang w:val="en-US" w:eastAsia="zh-CN"/>
        </w:rPr>
        <w:t>书</w:t>
      </w:r>
      <w:r>
        <w:rPr>
          <w:rFonts w:hint="default" w:ascii="Times New Roman" w:hAnsi="Times New Roman" w:eastAsia="宋体" w:cs="Times New Roman"/>
          <w:color w:val="000000"/>
          <w:sz w:val="28"/>
          <w:szCs w:val="28"/>
          <w:lang w:val="en-US" w:eastAsia="zh-CN"/>
        </w:rPr>
        <w:t>。</w:t>
      </w:r>
    </w:p>
    <w:p>
      <w:pPr>
        <w:keepNext w:val="0"/>
        <w:keepLines w:val="0"/>
        <w:pageBreakBefore w:val="0"/>
        <w:widowControl/>
        <w:kinsoku/>
        <w:wordWrap/>
        <w:overflowPunct/>
        <w:topLinePunct w:val="0"/>
        <w:autoSpaceDE/>
        <w:autoSpaceDN/>
        <w:bidi w:val="0"/>
        <w:adjustRightInd w:val="0"/>
        <w:snapToGrid w:val="0"/>
        <w:spacing w:after="157" w:afterLines="50"/>
        <w:jc w:val="left"/>
        <w:textAlignment w:val="auto"/>
        <w:outlineLvl w:val="9"/>
        <w:rPr>
          <w:rFonts w:hint="default" w:ascii="Times New Roman" w:hAnsi="Times New Roman" w:eastAsia="宋体" w:cs="Times New Roman"/>
          <w:color w:val="000000"/>
          <w:sz w:val="28"/>
          <w:szCs w:val="28"/>
          <w:lang w:val="en-US" w:eastAsia="zh-CN"/>
        </w:rPr>
      </w:pPr>
      <w:r>
        <w:rPr>
          <w:rFonts w:hint="default" w:ascii="Times New Roman" w:hAnsi="Times New Roman" w:eastAsia="宋体" w:cs="Times New Roman"/>
          <w:color w:val="000000"/>
          <w:sz w:val="28"/>
          <w:szCs w:val="28"/>
          <w:lang w:val="en-US" w:eastAsia="zh-CN"/>
        </w:rPr>
        <w:t>附件</w:t>
      </w:r>
      <w:r>
        <w:rPr>
          <w:rFonts w:hint="eastAsia" w:ascii="Times New Roman" w:hAnsi="Times New Roman" w:eastAsia="宋体" w:cs="Times New Roman"/>
          <w:color w:val="000000"/>
          <w:sz w:val="28"/>
          <w:szCs w:val="28"/>
          <w:lang w:val="en-US" w:eastAsia="zh-CN"/>
        </w:rPr>
        <w:t>5</w:t>
      </w:r>
      <w:r>
        <w:rPr>
          <w:rFonts w:hint="default" w:ascii="Times New Roman" w:hAnsi="Times New Roman" w:eastAsia="宋体" w:cs="Times New Roman"/>
          <w:color w:val="000000"/>
          <w:sz w:val="28"/>
          <w:szCs w:val="28"/>
          <w:lang w:val="en-US" w:eastAsia="zh-CN"/>
        </w:rPr>
        <w:t>、污水</w:t>
      </w:r>
      <w:r>
        <w:rPr>
          <w:rFonts w:hint="eastAsia" w:ascii="Times New Roman" w:hAnsi="Times New Roman" w:eastAsia="宋体" w:cs="Times New Roman"/>
          <w:color w:val="000000"/>
          <w:sz w:val="28"/>
          <w:szCs w:val="28"/>
          <w:lang w:val="en-US" w:eastAsia="zh-CN"/>
        </w:rPr>
        <w:t>处</w:t>
      </w:r>
      <w:r>
        <w:rPr>
          <w:rFonts w:hint="default" w:ascii="Times New Roman" w:hAnsi="Times New Roman" w:eastAsia="宋体" w:cs="Times New Roman"/>
          <w:color w:val="000000"/>
          <w:sz w:val="28"/>
          <w:szCs w:val="28"/>
          <w:lang w:val="en-US" w:eastAsia="zh-CN"/>
        </w:rPr>
        <w:t>理</w:t>
      </w:r>
      <w:r>
        <w:rPr>
          <w:rFonts w:hint="eastAsia" w:ascii="Times New Roman" w:hAnsi="Times New Roman" w:eastAsia="宋体" w:cs="Times New Roman"/>
          <w:color w:val="000000"/>
          <w:sz w:val="28"/>
          <w:szCs w:val="28"/>
          <w:lang w:val="en-US" w:eastAsia="zh-CN"/>
        </w:rPr>
        <w:t>工程设计方案</w:t>
      </w:r>
      <w:r>
        <w:rPr>
          <w:rFonts w:hint="default" w:ascii="Times New Roman" w:hAnsi="Times New Roman" w:eastAsia="宋体" w:cs="Times New Roman"/>
          <w:color w:val="000000"/>
          <w:sz w:val="28"/>
          <w:szCs w:val="28"/>
          <w:lang w:val="en-US" w:eastAsia="zh-CN"/>
        </w:rPr>
        <w:t>。</w:t>
      </w:r>
    </w:p>
    <w:p>
      <w:pPr>
        <w:keepNext w:val="0"/>
        <w:keepLines w:val="0"/>
        <w:pageBreakBefore w:val="0"/>
        <w:widowControl/>
        <w:kinsoku/>
        <w:wordWrap/>
        <w:overflowPunct/>
        <w:topLinePunct w:val="0"/>
        <w:autoSpaceDE/>
        <w:autoSpaceDN/>
        <w:bidi w:val="0"/>
        <w:adjustRightInd w:val="0"/>
        <w:snapToGrid w:val="0"/>
        <w:spacing w:after="157" w:afterLines="50"/>
        <w:jc w:val="left"/>
        <w:textAlignment w:val="auto"/>
        <w:outlineLvl w:val="9"/>
        <w:rPr>
          <w:rFonts w:hint="default" w:ascii="Times New Roman" w:hAnsi="Times New Roman" w:eastAsia="宋体" w:cs="Times New Roman"/>
          <w:color w:val="000000"/>
          <w:sz w:val="28"/>
          <w:szCs w:val="28"/>
          <w:lang w:val="en-US" w:eastAsia="zh-CN"/>
        </w:rPr>
      </w:pPr>
      <w:r>
        <w:rPr>
          <w:rFonts w:hint="default" w:ascii="Times New Roman" w:hAnsi="Times New Roman" w:eastAsia="宋体" w:cs="Times New Roman"/>
          <w:color w:val="000000"/>
          <w:sz w:val="28"/>
          <w:szCs w:val="28"/>
          <w:lang w:val="en-US" w:eastAsia="zh-CN"/>
        </w:rPr>
        <w:t>附件</w:t>
      </w:r>
      <w:r>
        <w:rPr>
          <w:rFonts w:hint="eastAsia" w:ascii="Times New Roman" w:hAnsi="Times New Roman" w:eastAsia="宋体" w:cs="Times New Roman"/>
          <w:color w:val="000000"/>
          <w:sz w:val="28"/>
          <w:szCs w:val="28"/>
          <w:lang w:val="en-US" w:eastAsia="zh-CN"/>
        </w:rPr>
        <w:t>6</w:t>
      </w:r>
      <w:r>
        <w:rPr>
          <w:rFonts w:hint="default" w:ascii="Times New Roman" w:hAnsi="Times New Roman" w:eastAsia="宋体" w:cs="Times New Roman"/>
          <w:color w:val="000000"/>
          <w:sz w:val="28"/>
          <w:szCs w:val="28"/>
          <w:lang w:val="en-US" w:eastAsia="zh-CN"/>
        </w:rPr>
        <w:t>、</w:t>
      </w:r>
      <w:r>
        <w:rPr>
          <w:rFonts w:hint="eastAsia" w:ascii="Times New Roman" w:hAnsi="Times New Roman" w:eastAsia="宋体" w:cs="Times New Roman"/>
          <w:color w:val="000000"/>
          <w:sz w:val="28"/>
          <w:szCs w:val="28"/>
          <w:lang w:val="en-US" w:eastAsia="zh-CN"/>
        </w:rPr>
        <w:t>建设项目工程竣工环境保护“三同时”验收登记表。</w:t>
      </w:r>
    </w:p>
    <w:p>
      <w:pPr>
        <w:keepNext w:val="0"/>
        <w:keepLines w:val="0"/>
        <w:pageBreakBefore w:val="0"/>
        <w:widowControl/>
        <w:kinsoku/>
        <w:wordWrap/>
        <w:overflowPunct/>
        <w:topLinePunct w:val="0"/>
        <w:autoSpaceDE/>
        <w:autoSpaceDN/>
        <w:bidi w:val="0"/>
        <w:adjustRightInd w:val="0"/>
        <w:snapToGrid w:val="0"/>
        <w:spacing w:after="157" w:afterLines="50"/>
        <w:jc w:val="left"/>
        <w:textAlignment w:val="auto"/>
        <w:outlineLvl w:val="9"/>
        <w:rPr>
          <w:rFonts w:hint="default" w:ascii="Times New Roman" w:hAnsi="Times New Roman" w:eastAsia="宋体" w:cs="Times New Roman"/>
          <w:color w:val="000000"/>
          <w:sz w:val="28"/>
          <w:szCs w:val="28"/>
          <w:lang w:val="en-US" w:eastAsia="zh-CN"/>
        </w:rPr>
      </w:pPr>
      <w:r>
        <w:rPr>
          <w:rFonts w:hint="default" w:ascii="Times New Roman" w:hAnsi="Times New Roman" w:eastAsia="宋体" w:cs="Times New Roman"/>
          <w:color w:val="000000"/>
          <w:sz w:val="28"/>
          <w:szCs w:val="28"/>
          <w:lang w:val="en-US" w:eastAsia="zh-CN"/>
        </w:rPr>
        <w:t>附件</w:t>
      </w:r>
      <w:r>
        <w:rPr>
          <w:rFonts w:hint="eastAsia" w:ascii="Times New Roman" w:hAnsi="Times New Roman" w:eastAsia="宋体" w:cs="Times New Roman"/>
          <w:color w:val="000000"/>
          <w:sz w:val="28"/>
          <w:szCs w:val="28"/>
          <w:lang w:val="en-US" w:eastAsia="zh-CN"/>
        </w:rPr>
        <w:t>7</w:t>
      </w:r>
      <w:r>
        <w:rPr>
          <w:rFonts w:hint="default" w:ascii="Times New Roman" w:hAnsi="Times New Roman" w:eastAsia="宋体" w:cs="Times New Roman"/>
          <w:color w:val="000000"/>
          <w:sz w:val="28"/>
          <w:szCs w:val="28"/>
          <w:lang w:val="en-US" w:eastAsia="zh-CN"/>
        </w:rPr>
        <w:t>、</w:t>
      </w:r>
      <w:r>
        <w:rPr>
          <w:rFonts w:hint="eastAsia" w:ascii="Times New Roman" w:hAnsi="Times New Roman" w:eastAsia="宋体" w:cs="Times New Roman"/>
          <w:color w:val="000000"/>
          <w:sz w:val="28"/>
          <w:szCs w:val="28"/>
          <w:lang w:val="en-US" w:eastAsia="zh-CN"/>
        </w:rPr>
        <w:t>建设项目工程竣工环境保护“三同时”检查记录表。</w:t>
      </w:r>
    </w:p>
    <w:p>
      <w:pPr>
        <w:spacing w:after="0" w:afterLines="0" w:line="360" w:lineRule="auto"/>
        <w:rPr>
          <w:rFonts w:hAnsi="Arial" w:eastAsia="仿宋_GB2312"/>
          <w:b/>
          <w:color w:val="000000"/>
          <w:sz w:val="21"/>
          <w:szCs w:val="21"/>
        </w:rPr>
      </w:pPr>
    </w:p>
    <w:p>
      <w:pPr>
        <w:spacing w:after="0" w:afterLines="0" w:line="360" w:lineRule="auto"/>
        <w:rPr>
          <w:rFonts w:hAnsi="Arial" w:eastAsia="仿宋_GB2312"/>
          <w:b/>
          <w:color w:val="000000"/>
          <w:sz w:val="21"/>
          <w:szCs w:val="21"/>
        </w:rPr>
      </w:pPr>
    </w:p>
    <w:p>
      <w:pPr>
        <w:spacing w:after="0" w:afterLines="0" w:line="360" w:lineRule="auto"/>
        <w:rPr>
          <w:rFonts w:hAnsi="Arial" w:eastAsia="仿宋_GB2312"/>
          <w:b/>
          <w:color w:val="000000"/>
          <w:sz w:val="21"/>
          <w:szCs w:val="21"/>
        </w:rPr>
      </w:pPr>
    </w:p>
    <w:p>
      <w:pPr>
        <w:spacing w:after="0" w:afterLines="0" w:line="360" w:lineRule="auto"/>
        <w:rPr>
          <w:rFonts w:hAnsi="Arial" w:eastAsia="仿宋_GB2312"/>
          <w:b/>
          <w:color w:val="000000"/>
          <w:sz w:val="21"/>
          <w:szCs w:val="21"/>
        </w:rPr>
      </w:pPr>
    </w:p>
    <w:p>
      <w:pPr>
        <w:spacing w:after="0" w:afterLines="0" w:line="360" w:lineRule="auto"/>
        <w:rPr>
          <w:rFonts w:hAnsi="Arial" w:eastAsia="仿宋_GB2312"/>
          <w:b/>
          <w:color w:val="000000"/>
          <w:sz w:val="21"/>
          <w:szCs w:val="21"/>
        </w:rPr>
      </w:pPr>
    </w:p>
    <w:p>
      <w:pPr>
        <w:spacing w:after="0" w:afterLines="0" w:line="360" w:lineRule="auto"/>
        <w:rPr>
          <w:rFonts w:hAnsi="Arial" w:eastAsia="仿宋_GB2312"/>
          <w:b/>
          <w:color w:val="000000"/>
          <w:sz w:val="21"/>
          <w:szCs w:val="21"/>
        </w:rPr>
      </w:pPr>
    </w:p>
    <w:p>
      <w:pPr>
        <w:spacing w:after="0" w:afterLines="0" w:line="360" w:lineRule="auto"/>
        <w:rPr>
          <w:rFonts w:hAnsi="Arial" w:eastAsia="仿宋_GB2312"/>
          <w:b/>
          <w:color w:val="000000"/>
          <w:sz w:val="21"/>
          <w:szCs w:val="21"/>
        </w:rPr>
      </w:pPr>
    </w:p>
    <w:p>
      <w:pPr>
        <w:spacing w:after="0" w:afterLines="0" w:line="360" w:lineRule="auto"/>
        <w:rPr>
          <w:rFonts w:hAnsi="Arial" w:eastAsia="仿宋_GB2312"/>
          <w:b/>
          <w:color w:val="000000"/>
          <w:sz w:val="21"/>
          <w:szCs w:val="21"/>
        </w:rPr>
      </w:pPr>
    </w:p>
    <w:p>
      <w:pPr>
        <w:spacing w:after="0" w:afterLines="0" w:line="360" w:lineRule="auto"/>
        <w:rPr>
          <w:rFonts w:hAnsi="Arial" w:eastAsia="仿宋_GB2312"/>
          <w:b/>
          <w:color w:val="000000"/>
          <w:sz w:val="21"/>
          <w:szCs w:val="21"/>
        </w:rPr>
      </w:pPr>
    </w:p>
    <w:p>
      <w:pPr>
        <w:spacing w:after="0" w:afterLines="0" w:line="360" w:lineRule="auto"/>
        <w:rPr>
          <w:rFonts w:hAnsi="Arial" w:eastAsia="仿宋_GB2312"/>
          <w:b/>
          <w:color w:val="000000"/>
          <w:sz w:val="21"/>
          <w:szCs w:val="21"/>
        </w:rPr>
      </w:pPr>
    </w:p>
    <w:p>
      <w:pPr>
        <w:spacing w:after="0" w:afterLines="0" w:line="360" w:lineRule="auto"/>
        <w:rPr>
          <w:rFonts w:hAnsi="Arial" w:eastAsia="仿宋_GB2312"/>
          <w:b/>
          <w:color w:val="000000"/>
          <w:sz w:val="21"/>
          <w:szCs w:val="21"/>
        </w:rPr>
      </w:pPr>
    </w:p>
    <w:p>
      <w:pPr>
        <w:spacing w:after="0" w:afterLines="0" w:line="360" w:lineRule="auto"/>
        <w:rPr>
          <w:rFonts w:hAnsi="Arial" w:eastAsia="仿宋_GB2312"/>
          <w:b/>
          <w:color w:val="000000"/>
          <w:sz w:val="21"/>
          <w:szCs w:val="21"/>
        </w:rPr>
      </w:pPr>
    </w:p>
    <w:p>
      <w:pPr>
        <w:spacing w:after="0" w:afterLines="0" w:line="360" w:lineRule="auto"/>
        <w:rPr>
          <w:rFonts w:hAnsi="Arial" w:eastAsia="仿宋_GB2312"/>
          <w:b/>
          <w:color w:val="000000"/>
          <w:sz w:val="21"/>
          <w:szCs w:val="21"/>
        </w:rPr>
      </w:pPr>
    </w:p>
    <w:p>
      <w:pPr>
        <w:spacing w:after="0" w:afterLines="0" w:line="360" w:lineRule="auto"/>
        <w:rPr>
          <w:rFonts w:hAnsi="Arial" w:eastAsia="仿宋_GB2312"/>
          <w:b/>
          <w:color w:val="000000"/>
          <w:sz w:val="21"/>
          <w:szCs w:val="21"/>
        </w:rPr>
      </w:pPr>
    </w:p>
    <w:p>
      <w:pPr>
        <w:spacing w:after="0" w:afterLines="0" w:line="360" w:lineRule="auto"/>
        <w:rPr>
          <w:rFonts w:hAnsi="Arial" w:eastAsia="仿宋_GB2312"/>
          <w:b/>
          <w:color w:val="000000"/>
          <w:sz w:val="21"/>
          <w:szCs w:val="21"/>
        </w:rPr>
      </w:pPr>
    </w:p>
    <w:p>
      <w:pPr>
        <w:spacing w:after="0" w:afterLines="0" w:line="360" w:lineRule="auto"/>
        <w:rPr>
          <w:rFonts w:hAnsi="Arial" w:eastAsia="仿宋_GB2312"/>
          <w:b/>
          <w:color w:val="000000"/>
          <w:sz w:val="21"/>
          <w:szCs w:val="21"/>
        </w:rPr>
      </w:pPr>
    </w:p>
    <w:p>
      <w:pPr>
        <w:spacing w:after="0" w:afterLines="0" w:line="360" w:lineRule="auto"/>
        <w:rPr>
          <w:rFonts w:hAnsi="Arial" w:eastAsia="仿宋_GB2312"/>
          <w:b/>
          <w:color w:val="000000"/>
          <w:sz w:val="21"/>
          <w:szCs w:val="21"/>
        </w:rPr>
      </w:pPr>
    </w:p>
    <w:p>
      <w:pPr>
        <w:spacing w:after="0" w:afterLines="0" w:line="360" w:lineRule="auto"/>
        <w:rPr>
          <w:rFonts w:hAnsi="Arial" w:eastAsia="仿宋_GB2312"/>
          <w:b/>
          <w:color w:val="000000"/>
          <w:sz w:val="21"/>
          <w:szCs w:val="21"/>
        </w:rPr>
      </w:pPr>
    </w:p>
    <w:p>
      <w:pPr>
        <w:spacing w:after="0" w:afterLines="0" w:line="360" w:lineRule="auto"/>
        <w:rPr>
          <w:rFonts w:hAnsi="Arial" w:eastAsia="仿宋_GB2312"/>
          <w:b/>
          <w:color w:val="000000"/>
          <w:sz w:val="21"/>
          <w:szCs w:val="21"/>
        </w:rPr>
      </w:pPr>
    </w:p>
    <w:p>
      <w:pPr>
        <w:spacing w:after="0" w:afterLines="0" w:line="360" w:lineRule="auto"/>
        <w:rPr>
          <w:rFonts w:hAnsi="Arial" w:eastAsia="仿宋_GB2312"/>
          <w:b/>
          <w:color w:val="000000"/>
          <w:sz w:val="21"/>
          <w:szCs w:val="21"/>
        </w:rPr>
      </w:pPr>
    </w:p>
    <w:p>
      <w:pPr>
        <w:spacing w:after="0" w:afterLines="0" w:line="360" w:lineRule="auto"/>
        <w:rPr>
          <w:rFonts w:hAnsi="Arial" w:eastAsia="仿宋_GB2312"/>
          <w:b/>
          <w:color w:val="000000"/>
          <w:sz w:val="21"/>
          <w:szCs w:val="21"/>
        </w:rPr>
      </w:pPr>
    </w:p>
    <w:p>
      <w:pPr>
        <w:spacing w:after="0" w:afterLines="0" w:line="360" w:lineRule="auto"/>
        <w:rPr>
          <w:rFonts w:hint="eastAsia" w:hAnsi="Arial" w:eastAsia="仿宋_GB2312"/>
          <w:b/>
          <w:color w:val="000000"/>
          <w:sz w:val="21"/>
          <w:szCs w:val="21"/>
          <w:lang w:val="en-US" w:eastAsia="zh-CN"/>
        </w:rPr>
      </w:pPr>
    </w:p>
    <w:p>
      <w:pPr>
        <w:spacing w:after="0" w:afterLines="0" w:line="360" w:lineRule="auto"/>
        <w:rPr>
          <w:rFonts w:hint="eastAsia" w:hAnsi="Arial" w:eastAsia="仿宋_GB2312" w:cs="Times New Roman"/>
          <w:b/>
          <w:color w:val="000000"/>
          <w:sz w:val="21"/>
          <w:szCs w:val="21"/>
          <w:lang w:eastAsia="zh-CN"/>
        </w:rPr>
      </w:pPr>
      <w:r>
        <w:rPr>
          <w:rFonts w:hint="eastAsia" w:hAnsi="Arial" w:eastAsia="仿宋_GB2312" w:cs="Times New Roman"/>
          <w:b/>
          <w:color w:val="000000"/>
          <w:sz w:val="21"/>
          <w:szCs w:val="21"/>
        </w:rPr>
        <w:t>表一</w:t>
      </w:r>
      <w:r>
        <w:rPr>
          <w:rFonts w:hint="eastAsia" w:hAnsi="Arial" w:eastAsia="仿宋_GB2312" w:cs="Times New Roman"/>
          <w:b/>
          <w:color w:val="000000"/>
          <w:sz w:val="21"/>
          <w:szCs w:val="21"/>
          <w:lang w:eastAsia="zh-CN"/>
        </w:rPr>
        <w:t>、项目建设概况</w:t>
      </w:r>
    </w:p>
    <w:tbl>
      <w:tblPr>
        <w:tblStyle w:val="8"/>
        <w:tblW w:w="8728" w:type="dxa"/>
        <w:jc w:val="center"/>
        <w:tblInd w:w="19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07"/>
        <w:gridCol w:w="2501"/>
        <w:gridCol w:w="1813"/>
        <w:gridCol w:w="1104"/>
        <w:gridCol w:w="771"/>
        <w:gridCol w:w="83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707" w:type="dxa"/>
            <w:vAlign w:val="center"/>
          </w:tcPr>
          <w:p>
            <w:pPr>
              <w:spacing w:after="0" w:afterLine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建设项目名称</w:t>
            </w:r>
          </w:p>
        </w:tc>
        <w:tc>
          <w:tcPr>
            <w:tcW w:w="7021" w:type="dxa"/>
            <w:gridSpan w:val="5"/>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0" w:line="288" w:lineRule="auto"/>
              <w:ind w:firstLine="420" w:firstLineChars="200"/>
              <w:jc w:val="center"/>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云岩区头桥第二卫生服务站</w:t>
            </w:r>
            <w:r>
              <w:rPr>
                <w:rFonts w:hint="eastAsia" w:ascii="Times New Roman" w:hAnsi="Times New Roman" w:eastAsia="宋体" w:cs="Times New Roman"/>
                <w:color w:val="000000"/>
                <w:sz w:val="21"/>
                <w:szCs w:val="21"/>
                <w:lang w:val="en-US" w:eastAsia="zh-CN"/>
              </w:rPr>
              <w:t>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707" w:type="dxa"/>
            <w:vAlign w:val="center"/>
          </w:tcPr>
          <w:p>
            <w:pPr>
              <w:spacing w:after="0" w:afterLine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建设单位名称</w:t>
            </w:r>
          </w:p>
        </w:tc>
        <w:tc>
          <w:tcPr>
            <w:tcW w:w="7021" w:type="dxa"/>
            <w:gridSpan w:val="5"/>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0" w:line="288" w:lineRule="auto"/>
              <w:ind w:firstLine="420" w:firstLineChars="200"/>
              <w:jc w:val="center"/>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贵州省肿瘤医院有限公司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707" w:type="dxa"/>
            <w:vAlign w:val="center"/>
          </w:tcPr>
          <w:p>
            <w:pPr>
              <w:spacing w:after="0" w:afterLine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建设项目性质</w:t>
            </w:r>
          </w:p>
        </w:tc>
        <w:tc>
          <w:tcPr>
            <w:tcW w:w="7021" w:type="dxa"/>
            <w:gridSpan w:val="5"/>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0" w:line="288" w:lineRule="auto"/>
              <w:ind w:firstLine="420" w:firstLineChars="200"/>
              <w:jc w:val="center"/>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新建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707" w:type="dxa"/>
            <w:vAlign w:val="center"/>
          </w:tcPr>
          <w:p>
            <w:pPr>
              <w:spacing w:after="0" w:afterLine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建设地点</w:t>
            </w:r>
          </w:p>
        </w:tc>
        <w:tc>
          <w:tcPr>
            <w:tcW w:w="7021" w:type="dxa"/>
            <w:gridSpan w:val="5"/>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0" w:line="288" w:lineRule="auto"/>
              <w:ind w:firstLine="420" w:firstLineChars="200"/>
              <w:jc w:val="center"/>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贵阳市云岩区枣山路126号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707" w:type="dxa"/>
            <w:vAlign w:val="center"/>
          </w:tcPr>
          <w:p>
            <w:pPr>
              <w:spacing w:after="0" w:afterLine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建设单位联系人</w:t>
            </w:r>
          </w:p>
        </w:tc>
        <w:tc>
          <w:tcPr>
            <w:tcW w:w="2501" w:type="dxa"/>
            <w:vAlign w:val="center"/>
          </w:tcPr>
          <w:p>
            <w:pPr>
              <w:spacing w:after="0" w:afterLine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val="en-US" w:eastAsia="zh-CN"/>
              </w:rPr>
              <w:t>蔡广玲</w:t>
            </w:r>
          </w:p>
        </w:tc>
        <w:tc>
          <w:tcPr>
            <w:tcW w:w="1813"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联系方式</w:t>
            </w:r>
          </w:p>
        </w:tc>
        <w:tc>
          <w:tcPr>
            <w:tcW w:w="2707" w:type="dxa"/>
            <w:gridSpan w:val="3"/>
            <w:vAlign w:val="center"/>
          </w:tcPr>
          <w:p>
            <w:pPr>
              <w:spacing w:after="0" w:afterLine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0851-8180657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707" w:type="dxa"/>
            <w:vAlign w:val="center"/>
          </w:tcPr>
          <w:p>
            <w:pPr>
              <w:spacing w:after="0" w:afterLine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设计</w:t>
            </w:r>
            <w:r>
              <w:rPr>
                <w:rFonts w:hint="default" w:ascii="Times New Roman" w:hAnsi="Times New Roman" w:eastAsia="宋体" w:cs="Times New Roman"/>
                <w:color w:val="000000"/>
                <w:sz w:val="21"/>
                <w:szCs w:val="21"/>
                <w:lang w:eastAsia="zh-CN"/>
              </w:rPr>
              <w:t>建设规模</w:t>
            </w:r>
          </w:p>
        </w:tc>
        <w:tc>
          <w:tcPr>
            <w:tcW w:w="7021" w:type="dxa"/>
            <w:gridSpan w:val="5"/>
            <w:vAlign w:val="center"/>
          </w:tcPr>
          <w:p>
            <w:pPr>
              <w:spacing w:after="0" w:afterLine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门诊人数40人/天；无留观病人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707" w:type="dxa"/>
            <w:vAlign w:val="center"/>
          </w:tcPr>
          <w:p>
            <w:pPr>
              <w:spacing w:after="0" w:afterLine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实际建设规模</w:t>
            </w:r>
          </w:p>
        </w:tc>
        <w:tc>
          <w:tcPr>
            <w:tcW w:w="7021" w:type="dxa"/>
            <w:gridSpan w:val="5"/>
            <w:vAlign w:val="center"/>
          </w:tcPr>
          <w:p>
            <w:pPr>
              <w:spacing w:after="0" w:afterLine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门诊人数40人/天；无留观病人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707" w:type="dxa"/>
            <w:vAlign w:val="center"/>
          </w:tcPr>
          <w:p>
            <w:pPr>
              <w:spacing w:after="0" w:afterLine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环评报告表编制单位</w:t>
            </w:r>
          </w:p>
        </w:tc>
        <w:tc>
          <w:tcPr>
            <w:tcW w:w="2501" w:type="dxa"/>
            <w:vAlign w:val="center"/>
          </w:tcPr>
          <w:p>
            <w:pPr>
              <w:spacing w:after="0" w:afterLine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贵州大学科技</w:t>
            </w:r>
          </w:p>
          <w:p>
            <w:pPr>
              <w:spacing w:after="0" w:afterLine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园发展有限公司</w:t>
            </w:r>
          </w:p>
        </w:tc>
        <w:tc>
          <w:tcPr>
            <w:tcW w:w="1813" w:type="dxa"/>
            <w:vAlign w:val="center"/>
          </w:tcPr>
          <w:p>
            <w:pPr>
              <w:spacing w:after="0" w:afterLine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环评报告</w:t>
            </w:r>
          </w:p>
          <w:p>
            <w:pPr>
              <w:spacing w:after="0" w:afterLine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表编制日期</w:t>
            </w:r>
          </w:p>
        </w:tc>
        <w:tc>
          <w:tcPr>
            <w:tcW w:w="2707" w:type="dxa"/>
            <w:gridSpan w:val="3"/>
            <w:vAlign w:val="center"/>
          </w:tcPr>
          <w:p>
            <w:pPr>
              <w:spacing w:after="0" w:afterLine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2017年7月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707" w:type="dxa"/>
            <w:vAlign w:val="center"/>
          </w:tcPr>
          <w:p>
            <w:pPr>
              <w:spacing w:after="0" w:afterLine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环境报告表审批部门</w:t>
            </w:r>
          </w:p>
        </w:tc>
        <w:tc>
          <w:tcPr>
            <w:tcW w:w="2501" w:type="dxa"/>
            <w:vAlign w:val="center"/>
          </w:tcPr>
          <w:p>
            <w:pPr>
              <w:spacing w:after="0" w:afterLine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云岩区环境保护局</w:t>
            </w:r>
          </w:p>
        </w:tc>
        <w:tc>
          <w:tcPr>
            <w:tcW w:w="1813" w:type="dxa"/>
            <w:vAlign w:val="center"/>
          </w:tcPr>
          <w:p>
            <w:pPr>
              <w:spacing w:after="0" w:afterLine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审批日期</w:t>
            </w:r>
          </w:p>
        </w:tc>
        <w:tc>
          <w:tcPr>
            <w:tcW w:w="2707" w:type="dxa"/>
            <w:gridSpan w:val="3"/>
            <w:vAlign w:val="center"/>
          </w:tcPr>
          <w:p>
            <w:pPr>
              <w:spacing w:after="0" w:afterLine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2017年9月19日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jc w:val="center"/>
        </w:trPr>
        <w:tc>
          <w:tcPr>
            <w:tcW w:w="1707" w:type="dxa"/>
            <w:vAlign w:val="center"/>
          </w:tcPr>
          <w:p>
            <w:pPr>
              <w:spacing w:after="0" w:afterLine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验收监测单位</w:t>
            </w:r>
          </w:p>
        </w:tc>
        <w:tc>
          <w:tcPr>
            <w:tcW w:w="2501" w:type="dxa"/>
            <w:vAlign w:val="center"/>
          </w:tcPr>
          <w:p>
            <w:pPr>
              <w:spacing w:after="0" w:afterLine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贵州瑞思科环境</w:t>
            </w:r>
          </w:p>
          <w:p>
            <w:pPr>
              <w:spacing w:after="0" w:afterLine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eastAsia="zh-CN"/>
              </w:rPr>
              <w:t>科技有限公司</w:t>
            </w:r>
          </w:p>
        </w:tc>
        <w:tc>
          <w:tcPr>
            <w:tcW w:w="1813" w:type="dxa"/>
            <w:vAlign w:val="center"/>
          </w:tcPr>
          <w:p>
            <w:pPr>
              <w:spacing w:after="0" w:afterLine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验收监测时间</w:t>
            </w:r>
          </w:p>
        </w:tc>
        <w:tc>
          <w:tcPr>
            <w:tcW w:w="2707" w:type="dxa"/>
            <w:gridSpan w:val="3"/>
            <w:vAlign w:val="center"/>
          </w:tcPr>
          <w:p>
            <w:pPr>
              <w:spacing w:after="0" w:afterLine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2018年7月23日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jc w:val="center"/>
        </w:trPr>
        <w:tc>
          <w:tcPr>
            <w:tcW w:w="1707" w:type="dxa"/>
            <w:vAlign w:val="center"/>
          </w:tcPr>
          <w:p>
            <w:pPr>
              <w:spacing w:after="0" w:afterLines="0"/>
              <w:jc w:val="center"/>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eastAsia="zh-CN"/>
              </w:rPr>
              <w:t>项目开工时间</w:t>
            </w:r>
          </w:p>
        </w:tc>
        <w:tc>
          <w:tcPr>
            <w:tcW w:w="2501" w:type="dxa"/>
            <w:vAlign w:val="center"/>
          </w:tcPr>
          <w:p>
            <w:pPr>
              <w:spacing w:after="0" w:afterLines="0"/>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2018年2月</w:t>
            </w:r>
          </w:p>
        </w:tc>
        <w:tc>
          <w:tcPr>
            <w:tcW w:w="1813" w:type="dxa"/>
            <w:vAlign w:val="center"/>
          </w:tcPr>
          <w:p>
            <w:pPr>
              <w:spacing w:after="0" w:afterLines="0"/>
              <w:jc w:val="center"/>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eastAsia="zh-CN"/>
              </w:rPr>
              <w:t>竣工时间</w:t>
            </w:r>
          </w:p>
        </w:tc>
        <w:tc>
          <w:tcPr>
            <w:tcW w:w="2707" w:type="dxa"/>
            <w:gridSpan w:val="3"/>
            <w:vAlign w:val="center"/>
          </w:tcPr>
          <w:p>
            <w:pPr>
              <w:spacing w:after="0" w:afterLines="0"/>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2018年7月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jc w:val="center"/>
        </w:trPr>
        <w:tc>
          <w:tcPr>
            <w:tcW w:w="1707" w:type="dxa"/>
            <w:vAlign w:val="center"/>
          </w:tcPr>
          <w:p>
            <w:pPr>
              <w:spacing w:after="0" w:afterLines="0"/>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eastAsia="zh-CN"/>
              </w:rPr>
              <w:t>一体化污水处理站</w:t>
            </w:r>
            <w:r>
              <w:rPr>
                <w:rFonts w:hint="default" w:ascii="Times New Roman" w:hAnsi="Times New Roman" w:eastAsia="宋体" w:cs="Times New Roman"/>
                <w:color w:val="000000"/>
                <w:sz w:val="21"/>
                <w:szCs w:val="21"/>
                <w:highlight w:val="none"/>
              </w:rPr>
              <w:t>设计单位</w:t>
            </w:r>
          </w:p>
        </w:tc>
        <w:tc>
          <w:tcPr>
            <w:tcW w:w="2501" w:type="dxa"/>
            <w:vAlign w:val="center"/>
          </w:tcPr>
          <w:p>
            <w:pPr>
              <w:spacing w:after="0" w:afterLines="0"/>
              <w:jc w:val="center"/>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eastAsia="zh-CN"/>
              </w:rPr>
              <w:t>贵阳天碧兰环保科技工程有限公司</w:t>
            </w:r>
          </w:p>
        </w:tc>
        <w:tc>
          <w:tcPr>
            <w:tcW w:w="1813" w:type="dxa"/>
            <w:vAlign w:val="center"/>
          </w:tcPr>
          <w:p>
            <w:pPr>
              <w:spacing w:after="0" w:afterLines="0"/>
              <w:jc w:val="center"/>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eastAsia="zh-CN"/>
              </w:rPr>
              <w:t>一体化污水处理</w:t>
            </w:r>
          </w:p>
          <w:p>
            <w:pPr>
              <w:spacing w:after="0" w:afterLines="0"/>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eastAsia="zh-CN"/>
              </w:rPr>
              <w:t>站安装</w:t>
            </w:r>
            <w:r>
              <w:rPr>
                <w:rFonts w:hint="default" w:ascii="Times New Roman" w:hAnsi="Times New Roman" w:eastAsia="宋体" w:cs="Times New Roman"/>
                <w:color w:val="000000"/>
                <w:sz w:val="21"/>
                <w:szCs w:val="21"/>
                <w:highlight w:val="none"/>
              </w:rPr>
              <w:t>单位</w:t>
            </w:r>
          </w:p>
        </w:tc>
        <w:tc>
          <w:tcPr>
            <w:tcW w:w="2707" w:type="dxa"/>
            <w:gridSpan w:val="3"/>
            <w:vAlign w:val="center"/>
          </w:tcPr>
          <w:p>
            <w:pPr>
              <w:spacing w:after="0" w:afterLines="0"/>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eastAsia="zh-CN"/>
              </w:rPr>
              <w:t>贵阳天碧兰环保科技工程有限公司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707" w:type="dxa"/>
            <w:vAlign w:val="center"/>
          </w:tcPr>
          <w:p>
            <w:pPr>
              <w:spacing w:after="0" w:afterLine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投资总概算</w:t>
            </w:r>
          </w:p>
        </w:tc>
        <w:tc>
          <w:tcPr>
            <w:tcW w:w="2501" w:type="dxa"/>
            <w:vAlign w:val="center"/>
          </w:tcPr>
          <w:p>
            <w:pPr>
              <w:spacing w:after="0" w:afterLine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220.51万元</w:t>
            </w:r>
          </w:p>
        </w:tc>
        <w:tc>
          <w:tcPr>
            <w:tcW w:w="1813" w:type="dxa"/>
            <w:vAlign w:val="center"/>
          </w:tcPr>
          <w:p>
            <w:pPr>
              <w:spacing w:after="0" w:afterLine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环保投资总概算</w:t>
            </w:r>
          </w:p>
        </w:tc>
        <w:tc>
          <w:tcPr>
            <w:tcW w:w="1104" w:type="dxa"/>
            <w:vAlign w:val="center"/>
          </w:tcPr>
          <w:p>
            <w:pPr>
              <w:spacing w:after="0" w:afterLine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21.5万元</w:t>
            </w:r>
          </w:p>
        </w:tc>
        <w:tc>
          <w:tcPr>
            <w:tcW w:w="771" w:type="dxa"/>
            <w:vAlign w:val="center"/>
          </w:tcPr>
          <w:p>
            <w:pPr>
              <w:spacing w:after="0" w:afterLine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比例</w:t>
            </w:r>
          </w:p>
        </w:tc>
        <w:tc>
          <w:tcPr>
            <w:tcW w:w="832" w:type="dxa"/>
            <w:vAlign w:val="center"/>
          </w:tcPr>
          <w:p>
            <w:pPr>
              <w:spacing w:after="0" w:afterLine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jc w:val="center"/>
        </w:trPr>
        <w:tc>
          <w:tcPr>
            <w:tcW w:w="1707" w:type="dxa"/>
            <w:vAlign w:val="center"/>
          </w:tcPr>
          <w:p>
            <w:pPr>
              <w:spacing w:after="0" w:afterLine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实际总投资</w:t>
            </w:r>
          </w:p>
        </w:tc>
        <w:tc>
          <w:tcPr>
            <w:tcW w:w="2501" w:type="dxa"/>
            <w:vAlign w:val="center"/>
          </w:tcPr>
          <w:p>
            <w:pPr>
              <w:spacing w:after="0" w:afterLine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1000万</w:t>
            </w:r>
          </w:p>
        </w:tc>
        <w:tc>
          <w:tcPr>
            <w:tcW w:w="1813" w:type="dxa"/>
            <w:vAlign w:val="center"/>
          </w:tcPr>
          <w:p>
            <w:pPr>
              <w:spacing w:after="0" w:afterLine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环保投资</w:t>
            </w:r>
          </w:p>
        </w:tc>
        <w:tc>
          <w:tcPr>
            <w:tcW w:w="1104" w:type="dxa"/>
            <w:vAlign w:val="center"/>
          </w:tcPr>
          <w:p>
            <w:pPr>
              <w:spacing w:after="0" w:afterLine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23.5</w:t>
            </w:r>
            <w:r>
              <w:rPr>
                <w:rFonts w:hint="default" w:ascii="Times New Roman" w:hAnsi="Times New Roman" w:eastAsia="宋体" w:cs="Times New Roman"/>
                <w:color w:val="000000"/>
                <w:sz w:val="21"/>
                <w:szCs w:val="21"/>
                <w:lang w:val="en-US" w:eastAsia="zh-CN"/>
              </w:rPr>
              <w:t>万元</w:t>
            </w:r>
          </w:p>
        </w:tc>
        <w:tc>
          <w:tcPr>
            <w:tcW w:w="771" w:type="dxa"/>
            <w:vAlign w:val="center"/>
          </w:tcPr>
          <w:p>
            <w:pPr>
              <w:spacing w:after="0" w:afterLine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比例</w:t>
            </w:r>
          </w:p>
        </w:tc>
        <w:tc>
          <w:tcPr>
            <w:tcW w:w="832" w:type="dxa"/>
            <w:vAlign w:val="center"/>
          </w:tcPr>
          <w:p>
            <w:pPr>
              <w:spacing w:after="0" w:afterLine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2.35</w:t>
            </w:r>
            <w:r>
              <w:rPr>
                <w:rFonts w:hint="default" w:ascii="Times New Roman" w:hAnsi="Times New Roman" w:eastAsia="宋体" w:cs="Times New Roman"/>
                <w:color w:val="000000"/>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707" w:type="dxa"/>
            <w:vAlign w:val="top"/>
          </w:tcPr>
          <w:p>
            <w:pPr>
              <w:spacing w:after="0" w:afterLines="0"/>
              <w:jc w:val="center"/>
              <w:rPr>
                <w:rFonts w:hint="default" w:ascii="Times New Roman" w:hAnsi="Times New Roman" w:eastAsia="宋体" w:cs="Times New Roman"/>
                <w:color w:val="000000"/>
                <w:sz w:val="21"/>
                <w:szCs w:val="21"/>
              </w:rPr>
            </w:pPr>
          </w:p>
          <w:p>
            <w:pPr>
              <w:spacing w:after="0" w:afterLines="0"/>
              <w:jc w:val="center"/>
              <w:rPr>
                <w:rFonts w:hint="default" w:ascii="Times New Roman" w:hAnsi="Times New Roman" w:eastAsia="宋体" w:cs="Times New Roman"/>
                <w:color w:val="000000"/>
                <w:sz w:val="21"/>
                <w:szCs w:val="21"/>
              </w:rPr>
            </w:pPr>
          </w:p>
          <w:p>
            <w:pPr>
              <w:spacing w:after="0" w:afterLines="0"/>
              <w:jc w:val="center"/>
              <w:rPr>
                <w:rFonts w:hint="default" w:ascii="Times New Roman" w:hAnsi="Times New Roman" w:eastAsia="宋体" w:cs="Times New Roman"/>
                <w:color w:val="000000"/>
                <w:sz w:val="21"/>
                <w:szCs w:val="21"/>
              </w:rPr>
            </w:pPr>
          </w:p>
          <w:p>
            <w:pPr>
              <w:spacing w:after="0" w:afterLines="0"/>
              <w:jc w:val="center"/>
              <w:rPr>
                <w:rFonts w:hint="default" w:ascii="Times New Roman" w:hAnsi="Times New Roman" w:eastAsia="宋体" w:cs="Times New Roman"/>
                <w:color w:val="000000"/>
                <w:sz w:val="21"/>
                <w:szCs w:val="21"/>
              </w:rPr>
            </w:pPr>
          </w:p>
          <w:p>
            <w:pPr>
              <w:spacing w:after="0" w:afterLines="0"/>
              <w:jc w:val="center"/>
              <w:rPr>
                <w:rFonts w:hint="default" w:ascii="Times New Roman" w:hAnsi="Times New Roman" w:eastAsia="宋体" w:cs="Times New Roman"/>
                <w:color w:val="000000"/>
                <w:sz w:val="21"/>
                <w:szCs w:val="21"/>
              </w:rPr>
            </w:pPr>
          </w:p>
          <w:p>
            <w:pPr>
              <w:spacing w:after="0" w:afterLines="0"/>
              <w:jc w:val="center"/>
              <w:rPr>
                <w:rFonts w:hint="default" w:ascii="Times New Roman" w:hAnsi="Times New Roman" w:eastAsia="宋体" w:cs="Times New Roman"/>
                <w:color w:val="000000"/>
                <w:sz w:val="21"/>
                <w:szCs w:val="21"/>
              </w:rPr>
            </w:pPr>
          </w:p>
          <w:p>
            <w:pPr>
              <w:spacing w:after="0" w:afterLines="0"/>
              <w:jc w:val="center"/>
              <w:rPr>
                <w:rFonts w:hint="default" w:ascii="Times New Roman" w:hAnsi="Times New Roman" w:eastAsia="宋体" w:cs="Times New Roman"/>
                <w:color w:val="000000"/>
                <w:sz w:val="21"/>
                <w:szCs w:val="21"/>
              </w:rPr>
            </w:pPr>
          </w:p>
          <w:p>
            <w:pPr>
              <w:spacing w:after="0" w:afterLines="0"/>
              <w:jc w:val="center"/>
              <w:rPr>
                <w:rFonts w:hint="default" w:ascii="Times New Roman" w:hAnsi="Times New Roman" w:eastAsia="宋体" w:cs="Times New Roman"/>
                <w:color w:val="000000"/>
                <w:sz w:val="21"/>
                <w:szCs w:val="21"/>
              </w:rPr>
            </w:pPr>
          </w:p>
          <w:p>
            <w:pPr>
              <w:spacing w:after="0" w:afterLines="0"/>
              <w:jc w:val="center"/>
              <w:rPr>
                <w:rFonts w:hint="default" w:ascii="Times New Roman" w:hAnsi="Times New Roman" w:eastAsia="宋体" w:cs="Times New Roman"/>
                <w:color w:val="000000"/>
                <w:sz w:val="21"/>
                <w:szCs w:val="21"/>
              </w:rPr>
            </w:pPr>
          </w:p>
          <w:p>
            <w:pPr>
              <w:spacing w:after="0" w:afterLines="0"/>
              <w:jc w:val="center"/>
              <w:rPr>
                <w:rFonts w:hint="default" w:ascii="Times New Roman" w:hAnsi="Times New Roman" w:eastAsia="宋体" w:cs="Times New Roman"/>
                <w:color w:val="000000"/>
                <w:sz w:val="21"/>
                <w:szCs w:val="21"/>
              </w:rPr>
            </w:pPr>
          </w:p>
          <w:p>
            <w:pPr>
              <w:spacing w:after="0" w:afterLines="0"/>
              <w:jc w:val="center"/>
              <w:rPr>
                <w:rFonts w:hint="default" w:ascii="Times New Roman" w:hAnsi="Times New Roman" w:eastAsia="宋体" w:cs="Times New Roman"/>
                <w:color w:val="000000"/>
                <w:sz w:val="21"/>
                <w:szCs w:val="21"/>
              </w:rPr>
            </w:pPr>
          </w:p>
          <w:p>
            <w:pPr>
              <w:spacing w:after="0" w:afterLines="0"/>
              <w:jc w:val="center"/>
              <w:rPr>
                <w:rFonts w:hint="default" w:ascii="Times New Roman" w:hAnsi="Times New Roman" w:eastAsia="宋体" w:cs="Times New Roman"/>
                <w:color w:val="000000"/>
                <w:sz w:val="21"/>
                <w:szCs w:val="21"/>
              </w:rPr>
            </w:pPr>
          </w:p>
          <w:p>
            <w:pPr>
              <w:spacing w:after="0" w:afterLines="0"/>
              <w:jc w:val="center"/>
              <w:rPr>
                <w:rFonts w:hint="default" w:ascii="Times New Roman" w:hAnsi="Times New Roman" w:eastAsia="宋体" w:cs="Times New Roman"/>
                <w:color w:val="000000"/>
                <w:sz w:val="21"/>
                <w:szCs w:val="21"/>
              </w:rPr>
            </w:pPr>
          </w:p>
          <w:p>
            <w:pPr>
              <w:spacing w:after="0" w:afterLines="0"/>
              <w:jc w:val="center"/>
              <w:rPr>
                <w:rFonts w:hint="default" w:ascii="Times New Roman" w:hAnsi="Times New Roman" w:eastAsia="宋体" w:cs="Times New Roman"/>
                <w:color w:val="000000"/>
                <w:sz w:val="21"/>
                <w:szCs w:val="21"/>
              </w:rPr>
            </w:pPr>
          </w:p>
          <w:p>
            <w:pPr>
              <w:spacing w:after="0" w:afterLines="0"/>
              <w:jc w:val="center"/>
              <w:rPr>
                <w:rFonts w:hint="default" w:ascii="Times New Roman" w:hAnsi="Times New Roman" w:eastAsia="宋体" w:cs="Times New Roman"/>
                <w:color w:val="000000"/>
                <w:sz w:val="21"/>
                <w:szCs w:val="21"/>
              </w:rPr>
            </w:pPr>
          </w:p>
          <w:p>
            <w:pPr>
              <w:spacing w:after="0" w:afterLines="0"/>
              <w:jc w:val="center"/>
              <w:rPr>
                <w:rFonts w:hint="default" w:ascii="Times New Roman" w:hAnsi="Times New Roman" w:eastAsia="宋体" w:cs="Times New Roman"/>
                <w:color w:val="000000"/>
                <w:sz w:val="21"/>
                <w:szCs w:val="21"/>
                <w:highlight w:val="green"/>
              </w:rPr>
            </w:pPr>
            <w:r>
              <w:rPr>
                <w:rFonts w:hint="default" w:ascii="Times New Roman" w:hAnsi="Times New Roman" w:eastAsia="宋体" w:cs="Times New Roman"/>
                <w:color w:val="000000"/>
                <w:sz w:val="21"/>
                <w:szCs w:val="21"/>
              </w:rPr>
              <w:t>验收监测依据</w:t>
            </w:r>
          </w:p>
        </w:tc>
        <w:tc>
          <w:tcPr>
            <w:tcW w:w="7021" w:type="dxa"/>
            <w:gridSpan w:val="5"/>
            <w:vAlign w:val="top"/>
          </w:tcPr>
          <w:p>
            <w:pPr>
              <w:keepNext w:val="0"/>
              <w:keepLines w:val="0"/>
              <w:pageBreakBefore w:val="0"/>
              <w:widowControl w:val="0"/>
              <w:kinsoku/>
              <w:wordWrap/>
              <w:overflowPunct/>
              <w:topLinePunct w:val="0"/>
              <w:autoSpaceDE/>
              <w:autoSpaceDN/>
              <w:bidi w:val="0"/>
              <w:adjustRightInd w:val="0"/>
              <w:snapToGrid w:val="0"/>
              <w:spacing w:before="63" w:beforeLines="20" w:after="0" w:line="288" w:lineRule="auto"/>
              <w:ind w:right="220" w:rightChars="100" w:firstLine="210" w:firstLineChars="100"/>
              <w:jc w:val="left"/>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1、建设项目环境保护相关法律、法规和规章制度</w:t>
            </w:r>
          </w:p>
          <w:p>
            <w:pPr>
              <w:keepNext w:val="0"/>
              <w:keepLines w:val="0"/>
              <w:pageBreakBefore w:val="0"/>
              <w:widowControl w:val="0"/>
              <w:kinsoku/>
              <w:wordWrap/>
              <w:overflowPunct/>
              <w:topLinePunct w:val="0"/>
              <w:autoSpaceDE/>
              <w:autoSpaceDN/>
              <w:bidi w:val="0"/>
              <w:adjustRightInd w:val="0"/>
              <w:snapToGrid w:val="0"/>
              <w:spacing w:before="63" w:beforeLines="20" w:after="0" w:line="288" w:lineRule="auto"/>
              <w:ind w:right="220" w:rightChars="100" w:firstLine="420" w:firstLineChars="200"/>
              <w:jc w:val="left"/>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(1)《中华人民共和国环境保护法》，2015.1.1；</w:t>
            </w:r>
          </w:p>
          <w:p>
            <w:pPr>
              <w:keepNext w:val="0"/>
              <w:keepLines w:val="0"/>
              <w:pageBreakBefore w:val="0"/>
              <w:widowControl w:val="0"/>
              <w:kinsoku/>
              <w:wordWrap/>
              <w:overflowPunct/>
              <w:topLinePunct w:val="0"/>
              <w:autoSpaceDE/>
              <w:autoSpaceDN/>
              <w:bidi w:val="0"/>
              <w:adjustRightInd w:val="0"/>
              <w:snapToGrid w:val="0"/>
              <w:spacing w:before="63" w:beforeLines="20" w:after="0" w:line="288" w:lineRule="auto"/>
              <w:ind w:right="220" w:rightChars="100" w:firstLine="420" w:firstLineChars="200"/>
              <w:jc w:val="left"/>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(2)《中华人民共和国大气污染防治法》，2016.1.1；</w:t>
            </w:r>
          </w:p>
          <w:p>
            <w:pPr>
              <w:keepNext w:val="0"/>
              <w:keepLines w:val="0"/>
              <w:pageBreakBefore w:val="0"/>
              <w:widowControl w:val="0"/>
              <w:kinsoku/>
              <w:wordWrap/>
              <w:overflowPunct/>
              <w:topLinePunct w:val="0"/>
              <w:autoSpaceDE/>
              <w:autoSpaceDN/>
              <w:bidi w:val="0"/>
              <w:adjustRightInd w:val="0"/>
              <w:snapToGrid w:val="0"/>
              <w:spacing w:before="63" w:beforeLines="20" w:after="0" w:line="288" w:lineRule="auto"/>
              <w:ind w:right="220" w:rightChars="100" w:firstLine="420" w:firstLineChars="200"/>
              <w:jc w:val="left"/>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(3)《中华人民共和国水污染防治法》(2017年修订)，2018.1.1；</w:t>
            </w:r>
          </w:p>
          <w:p>
            <w:pPr>
              <w:keepNext w:val="0"/>
              <w:keepLines w:val="0"/>
              <w:pageBreakBefore w:val="0"/>
              <w:widowControl w:val="0"/>
              <w:kinsoku/>
              <w:wordWrap/>
              <w:overflowPunct/>
              <w:topLinePunct w:val="0"/>
              <w:autoSpaceDE/>
              <w:autoSpaceDN/>
              <w:bidi w:val="0"/>
              <w:adjustRightInd w:val="0"/>
              <w:snapToGrid w:val="0"/>
              <w:spacing w:before="63" w:beforeLines="20" w:after="0" w:line="288" w:lineRule="auto"/>
              <w:ind w:right="220" w:rightChars="100" w:firstLine="420" w:firstLineChars="200"/>
              <w:jc w:val="left"/>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(4)《中华人民共和国固体废物污染环境防治法》(2015年修订版)，2015.4.24；</w:t>
            </w:r>
          </w:p>
          <w:p>
            <w:pPr>
              <w:keepNext w:val="0"/>
              <w:keepLines w:val="0"/>
              <w:pageBreakBefore w:val="0"/>
              <w:widowControl w:val="0"/>
              <w:kinsoku/>
              <w:wordWrap/>
              <w:overflowPunct/>
              <w:topLinePunct w:val="0"/>
              <w:autoSpaceDE/>
              <w:autoSpaceDN/>
              <w:bidi w:val="0"/>
              <w:adjustRightInd w:val="0"/>
              <w:snapToGrid w:val="0"/>
              <w:spacing w:before="63" w:beforeLines="20" w:after="0" w:line="288" w:lineRule="auto"/>
              <w:ind w:right="220" w:rightChars="100" w:firstLine="420" w:firstLineChars="200"/>
              <w:jc w:val="left"/>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(5)《中华人民共和国环境噪声污染防治法》，1997.3.1；</w:t>
            </w:r>
          </w:p>
          <w:p>
            <w:pPr>
              <w:keepNext w:val="0"/>
              <w:keepLines w:val="0"/>
              <w:pageBreakBefore w:val="0"/>
              <w:widowControl w:val="0"/>
              <w:kinsoku/>
              <w:wordWrap/>
              <w:overflowPunct/>
              <w:topLinePunct w:val="0"/>
              <w:autoSpaceDE/>
              <w:autoSpaceDN/>
              <w:bidi w:val="0"/>
              <w:adjustRightInd w:val="0"/>
              <w:snapToGrid w:val="0"/>
              <w:spacing w:before="63" w:beforeLines="20" w:after="0" w:line="288" w:lineRule="auto"/>
              <w:ind w:right="220" w:rightChars="100" w:firstLine="420" w:firstLineChars="200"/>
              <w:jc w:val="left"/>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lang w:val="en-US" w:eastAsia="zh-CN"/>
              </w:rPr>
              <w:t>6</w:t>
            </w:r>
            <w:r>
              <w:rPr>
                <w:rFonts w:hint="default" w:ascii="Times New Roman" w:hAnsi="Times New Roman" w:eastAsia="宋体" w:cs="Times New Roman"/>
                <w:color w:val="000000"/>
                <w:sz w:val="21"/>
                <w:szCs w:val="21"/>
                <w:lang w:eastAsia="zh-CN"/>
              </w:rPr>
              <w:t>)《建设项目环境保护管理条例》（国务院令第682号，2017年7月16日）；</w:t>
            </w:r>
          </w:p>
          <w:p>
            <w:pPr>
              <w:keepNext w:val="0"/>
              <w:keepLines w:val="0"/>
              <w:pageBreakBefore w:val="0"/>
              <w:widowControl w:val="0"/>
              <w:kinsoku/>
              <w:wordWrap/>
              <w:overflowPunct/>
              <w:topLinePunct w:val="0"/>
              <w:autoSpaceDE/>
              <w:autoSpaceDN/>
              <w:bidi w:val="0"/>
              <w:adjustRightInd w:val="0"/>
              <w:snapToGrid w:val="0"/>
              <w:spacing w:before="63" w:beforeLines="20" w:after="0" w:line="288" w:lineRule="auto"/>
              <w:ind w:right="220" w:rightChars="100" w:firstLine="420" w:firstLineChars="200"/>
              <w:jc w:val="left"/>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lang w:val="en-US" w:eastAsia="zh-CN"/>
              </w:rPr>
              <w:t>7</w:t>
            </w:r>
            <w:r>
              <w:rPr>
                <w:rFonts w:hint="default" w:ascii="Times New Roman" w:hAnsi="Times New Roman" w:eastAsia="宋体" w:cs="Times New Roman"/>
                <w:color w:val="000000"/>
                <w:sz w:val="21"/>
                <w:szCs w:val="21"/>
                <w:lang w:eastAsia="zh-CN"/>
              </w:rPr>
              <w:t>)《建设项目竣工环境保护验收暂行办法》（国环规环评（2017）4号，2017年11月20日）；</w:t>
            </w:r>
          </w:p>
          <w:p>
            <w:pPr>
              <w:keepNext w:val="0"/>
              <w:keepLines w:val="0"/>
              <w:pageBreakBefore w:val="0"/>
              <w:widowControl w:val="0"/>
              <w:kinsoku/>
              <w:wordWrap/>
              <w:overflowPunct/>
              <w:topLinePunct w:val="0"/>
              <w:autoSpaceDE/>
              <w:autoSpaceDN/>
              <w:bidi w:val="0"/>
              <w:adjustRightInd w:val="0"/>
              <w:snapToGrid w:val="0"/>
              <w:spacing w:before="63" w:beforeLines="20" w:after="0" w:line="288" w:lineRule="auto"/>
              <w:ind w:right="220" w:rightChars="100" w:firstLine="420" w:firstLineChars="200"/>
              <w:jc w:val="left"/>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lang w:val="en-US" w:eastAsia="zh-CN"/>
              </w:rPr>
              <w:t>8</w:t>
            </w:r>
            <w:r>
              <w:rPr>
                <w:rFonts w:hint="default" w:ascii="Times New Roman" w:hAnsi="Times New Roman" w:eastAsia="宋体" w:cs="Times New Roman"/>
                <w:color w:val="000000"/>
                <w:sz w:val="21"/>
                <w:szCs w:val="21"/>
                <w:lang w:eastAsia="zh-CN"/>
              </w:rPr>
              <w:t>)《危险化学品安全管理条例》（2013年修订）2013.12.4</w:t>
            </w:r>
            <w:r>
              <w:rPr>
                <w:rFonts w:hint="eastAsia" w:ascii="Times New Roman" w:hAnsi="Times New Roman" w:eastAsia="宋体" w:cs="Times New Roman"/>
                <w:color w:val="000000"/>
                <w:sz w:val="21"/>
                <w:szCs w:val="21"/>
                <w:lang w:eastAsia="zh-CN"/>
              </w:rPr>
              <w:t>；</w:t>
            </w:r>
          </w:p>
          <w:p>
            <w:pPr>
              <w:keepNext w:val="0"/>
              <w:keepLines w:val="0"/>
              <w:pageBreakBefore w:val="0"/>
              <w:widowControl w:val="0"/>
              <w:kinsoku/>
              <w:wordWrap/>
              <w:overflowPunct/>
              <w:topLinePunct w:val="0"/>
              <w:autoSpaceDE/>
              <w:autoSpaceDN/>
              <w:bidi w:val="0"/>
              <w:adjustRightInd w:val="0"/>
              <w:snapToGrid w:val="0"/>
              <w:spacing w:before="63" w:beforeLines="20" w:after="0" w:line="288" w:lineRule="auto"/>
              <w:ind w:left="220" w:leftChars="100" w:right="220" w:rightChars="100"/>
              <w:jc w:val="left"/>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2、建设项目竣工环境保护验收技术规范</w:t>
            </w:r>
          </w:p>
          <w:p>
            <w:pPr>
              <w:keepNext w:val="0"/>
              <w:keepLines w:val="0"/>
              <w:pageBreakBefore w:val="0"/>
              <w:widowControl w:val="0"/>
              <w:kinsoku/>
              <w:wordWrap/>
              <w:overflowPunct/>
              <w:topLinePunct w:val="0"/>
              <w:autoSpaceDE/>
              <w:autoSpaceDN/>
              <w:bidi w:val="0"/>
              <w:adjustRightInd w:val="0"/>
              <w:snapToGrid w:val="0"/>
              <w:spacing w:before="63" w:beforeLines="20" w:after="0" w:line="24" w:lineRule="atLeast"/>
              <w:ind w:right="220" w:rightChars="100" w:firstLine="420" w:firstLineChars="200"/>
              <w:jc w:val="left"/>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(1)(HJ794-2016)《建设项目环境保护验收技术规范 医疗机构》，2016.8.1；</w:t>
            </w:r>
          </w:p>
          <w:p>
            <w:pPr>
              <w:keepNext w:val="0"/>
              <w:keepLines w:val="0"/>
              <w:pageBreakBefore w:val="0"/>
              <w:widowControl w:val="0"/>
              <w:kinsoku/>
              <w:wordWrap/>
              <w:overflowPunct/>
              <w:topLinePunct w:val="0"/>
              <w:autoSpaceDE/>
              <w:autoSpaceDN/>
              <w:bidi w:val="0"/>
              <w:adjustRightInd w:val="0"/>
              <w:snapToGrid w:val="0"/>
              <w:spacing w:before="63" w:beforeLines="20" w:after="0" w:line="288" w:lineRule="auto"/>
              <w:ind w:right="220" w:rightChars="100" w:firstLine="420" w:firstLineChars="200"/>
              <w:jc w:val="left"/>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(2)生态环保部公告[2018年]9号告)《建设项目竣工环境保护验收技术指南 污染影响类》，2018.5.15；</w:t>
            </w:r>
          </w:p>
          <w:p>
            <w:pPr>
              <w:keepNext w:val="0"/>
              <w:keepLines w:val="0"/>
              <w:pageBreakBefore w:val="0"/>
              <w:widowControl w:val="0"/>
              <w:kinsoku/>
              <w:wordWrap/>
              <w:overflowPunct/>
              <w:topLinePunct w:val="0"/>
              <w:autoSpaceDE/>
              <w:autoSpaceDN/>
              <w:bidi w:val="0"/>
              <w:adjustRightInd w:val="0"/>
              <w:snapToGrid w:val="0"/>
              <w:spacing w:before="63" w:beforeLines="20" w:after="0" w:line="288" w:lineRule="auto"/>
              <w:ind w:right="220" w:rightChars="100" w:firstLine="210" w:firstLineChars="100"/>
              <w:jc w:val="left"/>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3、建设项目环境影响报告书及其审批部门审批决定</w:t>
            </w:r>
          </w:p>
          <w:p>
            <w:pPr>
              <w:keepNext w:val="0"/>
              <w:keepLines w:val="0"/>
              <w:pageBreakBefore w:val="0"/>
              <w:widowControl w:val="0"/>
              <w:kinsoku/>
              <w:wordWrap/>
              <w:overflowPunct/>
              <w:topLinePunct w:val="0"/>
              <w:autoSpaceDE/>
              <w:autoSpaceDN/>
              <w:bidi w:val="0"/>
              <w:adjustRightInd w:val="0"/>
              <w:snapToGrid w:val="0"/>
              <w:spacing w:before="63" w:beforeLines="20" w:after="0" w:line="288" w:lineRule="auto"/>
              <w:ind w:right="220" w:rightChars="100" w:firstLine="420" w:firstLineChars="200"/>
              <w:jc w:val="left"/>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w:t>
            </w:r>
            <w:r>
              <w:rPr>
                <w:rFonts w:hint="default" w:ascii="Times New Roman" w:hAnsi="Times New Roman" w:eastAsia="宋体" w:cs="Times New Roman"/>
                <w:color w:val="000000"/>
                <w:sz w:val="21"/>
                <w:szCs w:val="21"/>
                <w:lang w:val="en-US" w:eastAsia="zh-CN"/>
              </w:rPr>
              <w:t>贵州大学科技园发展有限公司</w:t>
            </w:r>
            <w:r>
              <w:rPr>
                <w:rFonts w:hint="default" w:ascii="Times New Roman" w:hAnsi="Times New Roman" w:eastAsia="宋体" w:cs="Times New Roman"/>
                <w:color w:val="000000"/>
                <w:sz w:val="21"/>
                <w:szCs w:val="21"/>
                <w:lang w:eastAsia="zh-CN"/>
              </w:rPr>
              <w:t>《云岩区头桥第二卫生服务站</w:t>
            </w:r>
            <w:r>
              <w:rPr>
                <w:rFonts w:hint="eastAsia" w:ascii="Times New Roman" w:hAnsi="Times New Roman" w:eastAsia="宋体" w:cs="Times New Roman"/>
                <w:color w:val="000000"/>
                <w:sz w:val="21"/>
                <w:szCs w:val="21"/>
                <w:lang w:eastAsia="zh-CN"/>
              </w:rPr>
              <w:t>建设项目</w:t>
            </w:r>
            <w:r>
              <w:rPr>
                <w:rFonts w:hint="default" w:ascii="Times New Roman" w:hAnsi="Times New Roman" w:eastAsia="宋体" w:cs="Times New Roman"/>
                <w:color w:val="000000"/>
                <w:sz w:val="21"/>
                <w:szCs w:val="21"/>
                <w:lang w:eastAsia="zh-CN"/>
              </w:rPr>
              <w:t>环境影响报告表》，201</w:t>
            </w:r>
            <w:r>
              <w:rPr>
                <w:rFonts w:hint="default" w:ascii="Times New Roman" w:hAnsi="Times New Roman" w:eastAsia="宋体" w:cs="Times New Roman"/>
                <w:color w:val="000000"/>
                <w:sz w:val="21"/>
                <w:szCs w:val="21"/>
                <w:lang w:val="en-US" w:eastAsia="zh-CN"/>
              </w:rPr>
              <w:t>7</w:t>
            </w:r>
            <w:r>
              <w:rPr>
                <w:rFonts w:hint="eastAsia" w:ascii="Times New Roman" w:hAnsi="Times New Roman" w:eastAsia="宋体"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7</w:t>
            </w:r>
            <w:r>
              <w:rPr>
                <w:rFonts w:hint="default" w:ascii="Times New Roman" w:hAnsi="Times New Roman" w:eastAsia="宋体" w:cs="Times New Roman"/>
                <w:color w:val="000000"/>
                <w:sz w:val="21"/>
                <w:szCs w:val="21"/>
                <w:lang w:eastAsia="zh-CN"/>
              </w:rPr>
              <w:t>；</w:t>
            </w:r>
          </w:p>
          <w:p>
            <w:pPr>
              <w:spacing w:after="0" w:afterLines="0"/>
              <w:ind w:firstLine="420" w:firstLineChars="200"/>
              <w:jc w:val="left"/>
              <w:rPr>
                <w:rFonts w:hint="default" w:ascii="Times New Roman" w:hAnsi="Times New Roman" w:eastAsia="宋体" w:cs="Times New Roman"/>
                <w:color w:val="000000"/>
                <w:sz w:val="21"/>
                <w:szCs w:val="21"/>
                <w:highlight w:val="green"/>
              </w:rPr>
            </w:pPr>
            <w:r>
              <w:rPr>
                <w:rFonts w:hint="default" w:ascii="Times New Roman" w:hAnsi="Times New Roman" w:eastAsia="宋体" w:cs="Times New Roman"/>
                <w:color w:val="000000"/>
                <w:sz w:val="21"/>
                <w:szCs w:val="21"/>
                <w:lang w:eastAsia="zh-CN"/>
              </w:rPr>
              <w:t>(2)云岩区环境保护局关于对《云岩区头桥第二卫生服务站</w:t>
            </w:r>
            <w:r>
              <w:rPr>
                <w:rFonts w:hint="eastAsia" w:ascii="Times New Roman" w:hAnsi="Times New Roman" w:eastAsia="宋体" w:cs="Times New Roman"/>
                <w:color w:val="000000"/>
                <w:sz w:val="21"/>
                <w:szCs w:val="21"/>
                <w:lang w:eastAsia="zh-CN"/>
              </w:rPr>
              <w:t>建设项目</w:t>
            </w:r>
            <w:r>
              <w:rPr>
                <w:rFonts w:hint="default" w:ascii="Times New Roman" w:hAnsi="Times New Roman" w:eastAsia="宋体" w:cs="Times New Roman"/>
                <w:color w:val="000000"/>
                <w:sz w:val="21"/>
                <w:szCs w:val="21"/>
                <w:lang w:eastAsia="zh-CN"/>
              </w:rPr>
              <w:t>环境影响报告表》的批复，2017</w:t>
            </w:r>
            <w:r>
              <w:rPr>
                <w:rFonts w:hint="eastAsia" w:ascii="Times New Roman" w:hAnsi="Times New Roman" w:eastAsia="宋体"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9</w:t>
            </w:r>
            <w:r>
              <w:rPr>
                <w:rFonts w:hint="eastAsia" w:ascii="Times New Roman" w:hAnsi="Times New Roman" w:eastAsia="宋体"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19</w:t>
            </w:r>
            <w:r>
              <w:rPr>
                <w:rFonts w:hint="eastAsia" w:ascii="Times New Roman" w:hAnsi="Times New Roman" w:eastAsia="宋体" w:cs="Times New Roman"/>
                <w:color w:val="000000"/>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83" w:hRule="atLeast"/>
          <w:jc w:val="center"/>
        </w:trPr>
        <w:tc>
          <w:tcPr>
            <w:tcW w:w="1707" w:type="dxa"/>
            <w:vAlign w:val="top"/>
          </w:tcPr>
          <w:p>
            <w:pPr>
              <w:spacing w:after="0" w:afterLines="0"/>
              <w:jc w:val="center"/>
              <w:rPr>
                <w:rFonts w:hint="default" w:ascii="Times New Roman" w:hAnsi="Times New Roman" w:eastAsia="宋体" w:cs="Times New Roman"/>
                <w:color w:val="000000"/>
                <w:sz w:val="21"/>
                <w:szCs w:val="21"/>
                <w:lang w:eastAsia="zh-CN"/>
              </w:rPr>
            </w:pPr>
          </w:p>
          <w:p>
            <w:pPr>
              <w:spacing w:after="0" w:afterLines="0"/>
              <w:jc w:val="center"/>
              <w:rPr>
                <w:rFonts w:hint="default" w:ascii="Times New Roman" w:hAnsi="Times New Roman" w:eastAsia="宋体" w:cs="Times New Roman"/>
                <w:color w:val="000000"/>
                <w:sz w:val="21"/>
                <w:szCs w:val="21"/>
                <w:lang w:eastAsia="zh-CN"/>
              </w:rPr>
            </w:pPr>
          </w:p>
          <w:p>
            <w:pPr>
              <w:spacing w:after="0" w:afterLines="0"/>
              <w:jc w:val="center"/>
              <w:rPr>
                <w:rFonts w:hint="default" w:ascii="Times New Roman" w:hAnsi="Times New Roman" w:eastAsia="宋体" w:cs="Times New Roman"/>
                <w:color w:val="000000"/>
                <w:sz w:val="21"/>
                <w:szCs w:val="21"/>
                <w:lang w:eastAsia="zh-CN"/>
              </w:rPr>
            </w:pPr>
          </w:p>
          <w:p>
            <w:pPr>
              <w:spacing w:after="0" w:afterLines="0"/>
              <w:jc w:val="center"/>
              <w:rPr>
                <w:rFonts w:hint="default" w:ascii="Times New Roman" w:hAnsi="Times New Roman" w:eastAsia="宋体" w:cs="Times New Roman"/>
                <w:color w:val="000000"/>
                <w:sz w:val="21"/>
                <w:szCs w:val="21"/>
                <w:lang w:eastAsia="zh-CN"/>
              </w:rPr>
            </w:pPr>
          </w:p>
          <w:p>
            <w:pPr>
              <w:spacing w:after="0" w:afterLines="0"/>
              <w:jc w:val="center"/>
              <w:rPr>
                <w:rFonts w:hint="default" w:ascii="Times New Roman" w:hAnsi="Times New Roman" w:eastAsia="宋体" w:cs="Times New Roman"/>
                <w:color w:val="000000"/>
                <w:sz w:val="21"/>
                <w:szCs w:val="21"/>
                <w:lang w:eastAsia="zh-CN"/>
              </w:rPr>
            </w:pPr>
          </w:p>
          <w:p>
            <w:pPr>
              <w:spacing w:after="0" w:afterLines="0"/>
              <w:jc w:val="center"/>
              <w:rPr>
                <w:rFonts w:hint="default" w:ascii="Times New Roman" w:hAnsi="Times New Roman" w:eastAsia="宋体" w:cs="Times New Roman"/>
                <w:color w:val="000000"/>
                <w:sz w:val="21"/>
                <w:szCs w:val="21"/>
                <w:lang w:eastAsia="zh-CN"/>
              </w:rPr>
            </w:pPr>
          </w:p>
          <w:p>
            <w:pPr>
              <w:spacing w:after="0" w:afterLines="0"/>
              <w:jc w:val="center"/>
              <w:rPr>
                <w:rFonts w:hint="default" w:ascii="Times New Roman" w:hAnsi="Times New Roman" w:eastAsia="宋体" w:cs="Times New Roman"/>
                <w:color w:val="000000"/>
                <w:sz w:val="21"/>
                <w:szCs w:val="21"/>
                <w:lang w:eastAsia="zh-CN"/>
              </w:rPr>
            </w:pPr>
          </w:p>
          <w:p>
            <w:pPr>
              <w:spacing w:after="0" w:afterLines="0"/>
              <w:jc w:val="center"/>
              <w:rPr>
                <w:rFonts w:hint="default" w:ascii="Times New Roman" w:hAnsi="Times New Roman" w:eastAsia="宋体" w:cs="Times New Roman"/>
                <w:color w:val="000000"/>
                <w:sz w:val="21"/>
                <w:szCs w:val="21"/>
                <w:lang w:eastAsia="zh-CN"/>
              </w:rPr>
            </w:pPr>
          </w:p>
          <w:p>
            <w:pPr>
              <w:spacing w:after="0" w:afterLines="0"/>
              <w:jc w:val="center"/>
              <w:rPr>
                <w:rFonts w:hint="default" w:ascii="Times New Roman" w:hAnsi="Times New Roman" w:eastAsia="宋体" w:cs="Times New Roman"/>
                <w:color w:val="000000"/>
                <w:sz w:val="21"/>
                <w:szCs w:val="21"/>
                <w:lang w:eastAsia="zh-CN"/>
              </w:rPr>
            </w:pPr>
          </w:p>
          <w:p>
            <w:pPr>
              <w:spacing w:after="0" w:afterLines="0"/>
              <w:jc w:val="center"/>
              <w:rPr>
                <w:rFonts w:hint="default" w:ascii="Times New Roman" w:hAnsi="Times New Roman" w:eastAsia="宋体" w:cs="Times New Roman"/>
                <w:color w:val="000000"/>
                <w:sz w:val="21"/>
                <w:szCs w:val="21"/>
                <w:lang w:eastAsia="zh-CN"/>
              </w:rPr>
            </w:pPr>
          </w:p>
          <w:p>
            <w:pPr>
              <w:spacing w:after="0" w:afterLines="0"/>
              <w:jc w:val="center"/>
              <w:rPr>
                <w:rFonts w:hint="default" w:ascii="Times New Roman" w:hAnsi="Times New Roman" w:eastAsia="宋体" w:cs="Times New Roman"/>
                <w:color w:val="000000"/>
                <w:sz w:val="21"/>
                <w:szCs w:val="21"/>
                <w:lang w:eastAsia="zh-CN"/>
              </w:rPr>
            </w:pPr>
          </w:p>
          <w:p>
            <w:pPr>
              <w:spacing w:after="0" w:afterLines="0"/>
              <w:jc w:val="center"/>
              <w:rPr>
                <w:rFonts w:hint="default" w:ascii="Times New Roman" w:hAnsi="Times New Roman" w:eastAsia="宋体" w:cs="Times New Roman"/>
                <w:color w:val="000000"/>
                <w:sz w:val="21"/>
                <w:szCs w:val="21"/>
                <w:lang w:eastAsia="zh-CN"/>
              </w:rPr>
            </w:pPr>
          </w:p>
          <w:p>
            <w:pPr>
              <w:spacing w:after="0" w:afterLines="0"/>
              <w:jc w:val="center"/>
              <w:rPr>
                <w:rFonts w:hint="default" w:ascii="Times New Roman" w:hAnsi="Times New Roman" w:eastAsia="宋体" w:cs="Times New Roman"/>
                <w:color w:val="000000"/>
                <w:sz w:val="21"/>
                <w:szCs w:val="21"/>
                <w:lang w:eastAsia="zh-CN"/>
              </w:rPr>
            </w:pPr>
          </w:p>
          <w:p>
            <w:pPr>
              <w:spacing w:after="0" w:afterLines="0"/>
              <w:jc w:val="center"/>
              <w:rPr>
                <w:rFonts w:hint="default" w:ascii="Times New Roman" w:hAnsi="Times New Roman" w:eastAsia="宋体" w:cs="Times New Roman"/>
                <w:color w:val="000000"/>
                <w:sz w:val="21"/>
                <w:szCs w:val="21"/>
                <w:lang w:eastAsia="zh-CN"/>
              </w:rPr>
            </w:pPr>
          </w:p>
          <w:p>
            <w:pPr>
              <w:spacing w:after="0" w:afterLines="0"/>
              <w:jc w:val="center"/>
              <w:rPr>
                <w:rFonts w:hint="default" w:ascii="Times New Roman" w:hAnsi="Times New Roman" w:eastAsia="宋体" w:cs="Times New Roman"/>
                <w:color w:val="000000"/>
                <w:sz w:val="21"/>
                <w:szCs w:val="21"/>
                <w:lang w:eastAsia="zh-CN"/>
              </w:rPr>
            </w:pPr>
          </w:p>
          <w:p>
            <w:pPr>
              <w:spacing w:after="0" w:afterLines="0"/>
              <w:jc w:val="center"/>
              <w:rPr>
                <w:rFonts w:hint="default" w:ascii="Times New Roman" w:hAnsi="Times New Roman" w:eastAsia="宋体" w:cs="Times New Roman"/>
                <w:color w:val="000000"/>
                <w:sz w:val="21"/>
                <w:szCs w:val="21"/>
                <w:lang w:eastAsia="zh-CN"/>
              </w:rPr>
            </w:pPr>
          </w:p>
          <w:p>
            <w:pPr>
              <w:spacing w:after="0" w:afterLines="0"/>
              <w:jc w:val="center"/>
              <w:rPr>
                <w:rFonts w:hint="default" w:ascii="Times New Roman" w:hAnsi="Times New Roman" w:eastAsia="宋体" w:cs="Times New Roman"/>
                <w:color w:val="000000"/>
                <w:sz w:val="21"/>
                <w:szCs w:val="21"/>
                <w:lang w:eastAsia="zh-CN"/>
              </w:rPr>
            </w:pPr>
          </w:p>
          <w:p>
            <w:pPr>
              <w:spacing w:after="0" w:afterLines="0"/>
              <w:jc w:val="center"/>
              <w:rPr>
                <w:rFonts w:hint="default" w:ascii="Times New Roman" w:hAnsi="Times New Roman" w:eastAsia="宋体" w:cs="Times New Roman"/>
                <w:color w:val="000000"/>
                <w:sz w:val="21"/>
                <w:szCs w:val="21"/>
                <w:lang w:eastAsia="zh-CN"/>
              </w:rPr>
            </w:pPr>
          </w:p>
          <w:p>
            <w:pPr>
              <w:spacing w:after="0" w:afterLines="0"/>
              <w:jc w:val="center"/>
              <w:rPr>
                <w:rFonts w:hint="default" w:ascii="Times New Roman" w:hAnsi="Times New Roman" w:eastAsia="宋体" w:cs="Times New Roman"/>
                <w:color w:val="000000"/>
                <w:sz w:val="21"/>
                <w:szCs w:val="21"/>
                <w:lang w:eastAsia="zh-CN"/>
              </w:rPr>
            </w:pPr>
          </w:p>
          <w:p>
            <w:pPr>
              <w:spacing w:after="0" w:afterLines="0"/>
              <w:jc w:val="center"/>
              <w:rPr>
                <w:rFonts w:hint="default" w:ascii="Times New Roman" w:hAnsi="Times New Roman" w:eastAsia="宋体" w:cs="Times New Roman"/>
                <w:color w:val="000000"/>
                <w:sz w:val="21"/>
                <w:szCs w:val="21"/>
                <w:lang w:eastAsia="zh-CN"/>
              </w:rPr>
            </w:pPr>
          </w:p>
          <w:p>
            <w:pPr>
              <w:spacing w:after="0" w:afterLines="0"/>
              <w:jc w:val="center"/>
              <w:rPr>
                <w:rFonts w:hint="default" w:ascii="Times New Roman" w:hAnsi="Times New Roman" w:eastAsia="宋体" w:cs="Times New Roman"/>
                <w:color w:val="000000"/>
                <w:sz w:val="21"/>
                <w:szCs w:val="21"/>
                <w:lang w:eastAsia="zh-CN"/>
              </w:rPr>
            </w:pPr>
          </w:p>
          <w:p>
            <w:pPr>
              <w:spacing w:after="0" w:afterLine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验收监测评价标准、标号、级别、限值</w:t>
            </w:r>
          </w:p>
        </w:tc>
        <w:tc>
          <w:tcPr>
            <w:tcW w:w="7021" w:type="dxa"/>
            <w:gridSpan w:val="5"/>
            <w:vAlign w:val="top"/>
          </w:tcPr>
          <w:p>
            <w:pPr>
              <w:keepNext w:val="0"/>
              <w:keepLines w:val="0"/>
              <w:pageBreakBefore w:val="0"/>
              <w:widowControl w:val="0"/>
              <w:kinsoku/>
              <w:wordWrap/>
              <w:overflowPunct/>
              <w:topLinePunct w:val="0"/>
              <w:autoSpaceDE/>
              <w:autoSpaceDN/>
              <w:bidi w:val="0"/>
              <w:adjustRightInd w:val="0"/>
              <w:snapToGrid w:val="0"/>
              <w:spacing w:before="63" w:beforeLines="20" w:after="0" w:line="288" w:lineRule="auto"/>
              <w:ind w:right="220" w:rightChars="100" w:firstLine="420" w:firstLineChars="200"/>
              <w:jc w:val="left"/>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本项目无地下停车场、锅炉房以及食堂，根据环境影响评价大纲执行标准并结合云岩区环境保护局对项目环评报告表的审批意见，验收监测评价标准如下。</w:t>
            </w:r>
          </w:p>
          <w:p>
            <w:pPr>
              <w:keepNext w:val="0"/>
              <w:keepLines w:val="0"/>
              <w:pageBreakBefore w:val="0"/>
              <w:widowControl w:val="0"/>
              <w:kinsoku/>
              <w:wordWrap/>
              <w:overflowPunct/>
              <w:topLinePunct w:val="0"/>
              <w:autoSpaceDE/>
              <w:autoSpaceDN/>
              <w:bidi w:val="0"/>
              <w:adjustRightInd w:val="0"/>
              <w:snapToGrid w:val="0"/>
              <w:spacing w:before="63" w:beforeLines="20" w:after="0" w:line="288" w:lineRule="auto"/>
              <w:ind w:right="220" w:rightChars="100" w:firstLine="210" w:firstLineChars="100"/>
              <w:jc w:val="left"/>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1、废水</w:t>
            </w:r>
          </w:p>
          <w:p>
            <w:pPr>
              <w:keepNext w:val="0"/>
              <w:keepLines w:val="0"/>
              <w:pageBreakBefore w:val="0"/>
              <w:widowControl w:val="0"/>
              <w:kinsoku/>
              <w:wordWrap/>
              <w:overflowPunct/>
              <w:topLinePunct w:val="0"/>
              <w:autoSpaceDE/>
              <w:autoSpaceDN/>
              <w:bidi w:val="0"/>
              <w:adjustRightInd w:val="0"/>
              <w:snapToGrid w:val="0"/>
              <w:spacing w:before="63" w:beforeLines="20" w:after="0" w:line="288" w:lineRule="auto"/>
              <w:ind w:right="220" w:rightChars="100" w:firstLine="420" w:firstLineChars="200"/>
              <w:jc w:val="left"/>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污水执行《医疗机构水污染物排放标准》(GB18466-2005)表2预处理标准，具体标准值见表</w:t>
            </w:r>
            <w:r>
              <w:rPr>
                <w:rFonts w:hint="default" w:ascii="Times New Roman" w:hAnsi="Times New Roman" w:eastAsia="宋体" w:cs="Times New Roman"/>
                <w:color w:val="000000"/>
                <w:sz w:val="21"/>
                <w:szCs w:val="21"/>
                <w:lang w:val="en-US" w:eastAsia="zh-CN"/>
              </w:rPr>
              <w:t>1</w:t>
            </w:r>
            <w:r>
              <w:rPr>
                <w:rFonts w:hint="default" w:ascii="Times New Roman" w:hAnsi="Times New Roman" w:eastAsia="宋体" w:cs="Times New Roman"/>
                <w:color w:val="000000"/>
                <w:sz w:val="21"/>
                <w:szCs w:val="21"/>
                <w:lang w:eastAsia="zh-CN"/>
              </w:rPr>
              <w:t>-1。</w:t>
            </w:r>
          </w:p>
          <w:p>
            <w:pPr>
              <w:keepNext w:val="0"/>
              <w:keepLines w:val="0"/>
              <w:pageBreakBefore w:val="0"/>
              <w:widowControl w:val="0"/>
              <w:kinsoku/>
              <w:wordWrap/>
              <w:overflowPunct/>
              <w:topLinePunct w:val="0"/>
              <w:autoSpaceDE/>
              <w:autoSpaceDN/>
              <w:bidi w:val="0"/>
              <w:adjustRightInd w:val="0"/>
              <w:snapToGrid w:val="0"/>
              <w:spacing w:before="63" w:beforeLines="20" w:after="0" w:line="288" w:lineRule="auto"/>
              <w:ind w:firstLine="1680" w:firstLineChars="800"/>
              <w:jc w:val="left"/>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表</w:t>
            </w:r>
            <w:r>
              <w:rPr>
                <w:rFonts w:hint="default" w:ascii="Times New Roman" w:hAnsi="Times New Roman" w:eastAsia="宋体" w:cs="Times New Roman"/>
                <w:color w:val="000000"/>
                <w:sz w:val="21"/>
                <w:szCs w:val="21"/>
                <w:lang w:val="en-US" w:eastAsia="zh-CN"/>
              </w:rPr>
              <w:t>1</w:t>
            </w:r>
            <w:r>
              <w:rPr>
                <w:rFonts w:hint="default" w:ascii="Times New Roman" w:hAnsi="Times New Roman" w:eastAsia="宋体" w:cs="Times New Roman"/>
                <w:color w:val="000000"/>
                <w:sz w:val="21"/>
                <w:szCs w:val="21"/>
                <w:lang w:eastAsia="zh-CN"/>
              </w:rPr>
              <w:t>-1 废水验收监测评价标准 单位：mg/L(pH除外)</w:t>
            </w:r>
          </w:p>
          <w:tbl>
            <w:tblPr>
              <w:tblStyle w:val="9"/>
              <w:tblW w:w="639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7"/>
              <w:gridCol w:w="1964"/>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jc w:val="center"/>
              </w:trPr>
              <w:tc>
                <w:tcPr>
                  <w:tcW w:w="229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110" w:rightChars="-5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000000"/>
                      <w:sz w:val="21"/>
                      <w:szCs w:val="21"/>
                      <w:highlight w:val="none"/>
                      <w:lang w:val="en-US" w:eastAsia="zh-CN"/>
                    </w:rPr>
                    <w:t>监测项目</w:t>
                  </w:r>
                </w:p>
              </w:tc>
              <w:tc>
                <w:tcPr>
                  <w:tcW w:w="196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110" w:rightChars="-5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000000"/>
                      <w:sz w:val="21"/>
                      <w:szCs w:val="21"/>
                      <w:highlight w:val="none"/>
                      <w:lang w:val="en-US" w:eastAsia="zh-CN"/>
                    </w:rPr>
                    <w:t>限值</w:t>
                  </w:r>
                </w:p>
              </w:tc>
              <w:tc>
                <w:tcPr>
                  <w:tcW w:w="21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110" w:rightChars="-5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000000"/>
                      <w:sz w:val="21"/>
                      <w:szCs w:val="21"/>
                      <w:highlight w:val="none"/>
                      <w:lang w:val="en-US" w:eastAsia="zh-CN"/>
                    </w:rPr>
                    <w:t>评价依据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atLeast"/>
                <w:jc w:val="center"/>
              </w:trPr>
              <w:tc>
                <w:tcPr>
                  <w:tcW w:w="229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110" w:rightChars="-5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pH（无量纲）</w:t>
                  </w:r>
                </w:p>
              </w:tc>
              <w:tc>
                <w:tcPr>
                  <w:tcW w:w="196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110" w:rightChars="-5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6~9</w:t>
                  </w:r>
                </w:p>
              </w:tc>
              <w:tc>
                <w:tcPr>
                  <w:tcW w:w="2131"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110" w:rightChars="-50"/>
                    <w:jc w:val="center"/>
                    <w:textAlignment w:val="auto"/>
                    <w:outlineLvl w:val="9"/>
                    <w:rPr>
                      <w:rFonts w:hint="default" w:ascii="Times New Roman" w:hAnsi="Times New Roman" w:eastAsia="宋体" w:cs="Times New Roman"/>
                      <w:color w:val="000000"/>
                      <w:sz w:val="21"/>
                      <w:szCs w:val="21"/>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after="0" w:line="240" w:lineRule="auto"/>
                    <w:ind w:right="-110" w:rightChars="-50"/>
                    <w:jc w:val="center"/>
                    <w:textAlignment w:val="auto"/>
                    <w:outlineLvl w:val="9"/>
                    <w:rPr>
                      <w:rFonts w:hint="default" w:ascii="Times New Roman" w:hAnsi="Times New Roman" w:eastAsia="宋体" w:cs="Times New Roman"/>
                      <w:color w:val="000000"/>
                      <w:sz w:val="21"/>
                      <w:szCs w:val="21"/>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after="0" w:line="240" w:lineRule="auto"/>
                    <w:ind w:right="-110" w:rightChars="-5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《医疗机构水污染物</w:t>
                  </w:r>
                  <w:r>
                    <w:rPr>
                      <w:rFonts w:hint="default" w:ascii="Times New Roman" w:hAnsi="Times New Roman" w:eastAsia="宋体" w:cs="Times New Roman"/>
                      <w:color w:val="000000"/>
                      <w:sz w:val="21"/>
                      <w:szCs w:val="21"/>
                      <w:highlight w:val="none"/>
                      <w:lang w:val="en-US" w:eastAsia="zh-CN"/>
                    </w:rPr>
                    <w:br w:type="textWrapping"/>
                  </w:r>
                  <w:r>
                    <w:rPr>
                      <w:rFonts w:hint="default" w:ascii="Times New Roman" w:hAnsi="Times New Roman" w:eastAsia="宋体" w:cs="Times New Roman"/>
                      <w:color w:val="000000"/>
                      <w:sz w:val="21"/>
                      <w:szCs w:val="21"/>
                      <w:highlight w:val="none"/>
                      <w:lang w:val="en-US" w:eastAsia="zh-CN"/>
                    </w:rPr>
                    <w:t>排放标准》</w:t>
                  </w:r>
                  <w:r>
                    <w:rPr>
                      <w:rFonts w:hint="default" w:ascii="Times New Roman" w:hAnsi="Times New Roman" w:eastAsia="宋体" w:cs="Times New Roman"/>
                      <w:color w:val="000000"/>
                      <w:sz w:val="21"/>
                      <w:szCs w:val="21"/>
                      <w:highlight w:val="none"/>
                      <w:lang w:val="en-US" w:eastAsia="zh-CN"/>
                    </w:rPr>
                    <w:br w:type="textWrapping"/>
                  </w:r>
                  <w:r>
                    <w:rPr>
                      <w:rFonts w:hint="default" w:ascii="Times New Roman" w:hAnsi="Times New Roman" w:eastAsia="宋体" w:cs="Times New Roman"/>
                      <w:color w:val="000000"/>
                      <w:sz w:val="21"/>
                      <w:szCs w:val="21"/>
                      <w:highlight w:val="none"/>
                      <w:lang w:val="en-US" w:eastAsia="zh-CN"/>
                    </w:rPr>
                    <w:t>（GB18466-2005）</w:t>
                  </w:r>
                  <w:r>
                    <w:rPr>
                      <w:rFonts w:hint="default" w:ascii="Times New Roman" w:hAnsi="Times New Roman" w:eastAsia="宋体" w:cs="Times New Roman"/>
                      <w:color w:val="000000"/>
                      <w:sz w:val="21"/>
                      <w:szCs w:val="21"/>
                      <w:highlight w:val="none"/>
                      <w:lang w:val="en-US" w:eastAsia="zh-CN"/>
                    </w:rPr>
                    <w:br w:type="textWrapping"/>
                  </w:r>
                  <w:r>
                    <w:rPr>
                      <w:rFonts w:hint="default" w:ascii="Times New Roman" w:hAnsi="Times New Roman" w:eastAsia="宋体" w:cs="Times New Roman"/>
                      <w:color w:val="000000"/>
                      <w:sz w:val="21"/>
                      <w:szCs w:val="21"/>
                      <w:highlight w:val="none"/>
                      <w:lang w:val="en-US" w:eastAsia="zh-CN"/>
                    </w:rPr>
                    <w:t>表2预处理标准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229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110" w:rightChars="-5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化学需氧量</w:t>
                  </w:r>
                </w:p>
              </w:tc>
              <w:tc>
                <w:tcPr>
                  <w:tcW w:w="196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110" w:rightChars="-5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250</w:t>
                  </w:r>
                </w:p>
              </w:tc>
              <w:tc>
                <w:tcPr>
                  <w:tcW w:w="2131"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110" w:rightChars="-50"/>
                    <w:jc w:val="center"/>
                    <w:textAlignment w:val="auto"/>
                    <w:outlineLvl w:val="9"/>
                    <w:rPr>
                      <w:rFonts w:hint="default" w:ascii="Times New Roman" w:hAnsi="Times New Roman" w:eastAsia="宋体" w:cs="Times New Roman"/>
                      <w:color w:val="00000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229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110" w:rightChars="-5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生化需氧量</w:t>
                  </w:r>
                </w:p>
              </w:tc>
              <w:tc>
                <w:tcPr>
                  <w:tcW w:w="196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110" w:rightChars="-5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100</w:t>
                  </w:r>
                </w:p>
              </w:tc>
              <w:tc>
                <w:tcPr>
                  <w:tcW w:w="2131"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110" w:rightChars="-50"/>
                    <w:jc w:val="center"/>
                    <w:textAlignment w:val="auto"/>
                    <w:outlineLvl w:val="9"/>
                    <w:rPr>
                      <w:rFonts w:hint="default" w:ascii="Times New Roman" w:hAnsi="Times New Roman" w:eastAsia="宋体" w:cs="Times New Roman"/>
                      <w:color w:val="00000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jc w:val="center"/>
              </w:trPr>
              <w:tc>
                <w:tcPr>
                  <w:tcW w:w="229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110" w:rightChars="-5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悬浮物</w:t>
                  </w:r>
                </w:p>
              </w:tc>
              <w:tc>
                <w:tcPr>
                  <w:tcW w:w="196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110" w:rightChars="-5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60</w:t>
                  </w:r>
                </w:p>
              </w:tc>
              <w:tc>
                <w:tcPr>
                  <w:tcW w:w="2131"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110" w:rightChars="-50"/>
                    <w:jc w:val="center"/>
                    <w:textAlignment w:val="auto"/>
                    <w:outlineLvl w:val="9"/>
                    <w:rPr>
                      <w:rFonts w:hint="default" w:ascii="Times New Roman" w:hAnsi="Times New Roman" w:eastAsia="宋体" w:cs="Times New Roman"/>
                      <w:color w:val="00000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jc w:val="center"/>
              </w:trPr>
              <w:tc>
                <w:tcPr>
                  <w:tcW w:w="229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110" w:rightChars="-5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动植物油</w:t>
                  </w:r>
                </w:p>
              </w:tc>
              <w:tc>
                <w:tcPr>
                  <w:tcW w:w="196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110" w:rightChars="-5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20</w:t>
                  </w:r>
                </w:p>
              </w:tc>
              <w:tc>
                <w:tcPr>
                  <w:tcW w:w="2131"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110" w:rightChars="-50"/>
                    <w:jc w:val="center"/>
                    <w:textAlignment w:val="auto"/>
                    <w:outlineLvl w:val="9"/>
                    <w:rPr>
                      <w:rFonts w:hint="default" w:ascii="Times New Roman" w:hAnsi="Times New Roman" w:eastAsia="宋体" w:cs="Times New Roman"/>
                      <w:color w:val="00000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229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110" w:rightChars="-5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粪大肠菌群</w:t>
                  </w:r>
                </w:p>
              </w:tc>
              <w:tc>
                <w:tcPr>
                  <w:tcW w:w="196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110" w:rightChars="-5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5000MPN/L</w:t>
                  </w:r>
                </w:p>
              </w:tc>
              <w:tc>
                <w:tcPr>
                  <w:tcW w:w="2131"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110" w:rightChars="-50"/>
                    <w:jc w:val="center"/>
                    <w:textAlignment w:val="auto"/>
                    <w:outlineLvl w:val="9"/>
                    <w:rPr>
                      <w:rFonts w:hint="default" w:ascii="Times New Roman" w:hAnsi="Times New Roman" w:eastAsia="宋体" w:cs="Times New Roman"/>
                      <w:color w:val="00000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229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110" w:rightChars="-5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总余氯</w:t>
                  </w:r>
                </w:p>
              </w:tc>
              <w:tc>
                <w:tcPr>
                  <w:tcW w:w="196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110" w:rightChars="-5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2~8</w:t>
                  </w:r>
                </w:p>
              </w:tc>
              <w:tc>
                <w:tcPr>
                  <w:tcW w:w="2131"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110" w:rightChars="-50"/>
                    <w:jc w:val="center"/>
                    <w:textAlignment w:val="auto"/>
                    <w:outlineLvl w:val="9"/>
                    <w:rPr>
                      <w:rFonts w:hint="default" w:ascii="Times New Roman" w:hAnsi="Times New Roman" w:eastAsia="宋体" w:cs="Times New Roman"/>
                      <w:color w:val="00000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jc w:val="center"/>
              </w:trPr>
              <w:tc>
                <w:tcPr>
                  <w:tcW w:w="229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110" w:rightChars="-50" w:firstLine="840" w:firstLineChars="400"/>
                    <w:jc w:val="both"/>
                    <w:textAlignment w:val="auto"/>
                    <w:outlineLvl w:val="9"/>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氨氮</w:t>
                  </w:r>
                </w:p>
              </w:tc>
              <w:tc>
                <w:tcPr>
                  <w:tcW w:w="196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110" w:rightChars="-5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45</w:t>
                  </w:r>
                </w:p>
              </w:tc>
              <w:tc>
                <w:tcPr>
                  <w:tcW w:w="2131"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110" w:rightChars="-50"/>
                    <w:jc w:val="center"/>
                    <w:textAlignment w:val="auto"/>
                    <w:outlineLvl w:val="9"/>
                    <w:rPr>
                      <w:rFonts w:hint="default" w:ascii="Times New Roman" w:hAnsi="Times New Roman" w:eastAsia="宋体" w:cs="Times New Roman"/>
                      <w:color w:val="00000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jc w:val="center"/>
              </w:trPr>
              <w:tc>
                <w:tcPr>
                  <w:tcW w:w="229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110" w:rightChars="-5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阴离子表面活化剂</w:t>
                  </w:r>
                </w:p>
              </w:tc>
              <w:tc>
                <w:tcPr>
                  <w:tcW w:w="196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110" w:rightChars="-5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10</w:t>
                  </w:r>
                </w:p>
              </w:tc>
              <w:tc>
                <w:tcPr>
                  <w:tcW w:w="2131"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110" w:rightChars="-50"/>
                    <w:jc w:val="center"/>
                    <w:textAlignment w:val="auto"/>
                    <w:outlineLvl w:val="9"/>
                    <w:rPr>
                      <w:rFonts w:hint="default" w:ascii="Times New Roman" w:hAnsi="Times New Roman" w:eastAsia="宋体" w:cs="Times New Roman"/>
                      <w:color w:val="000000"/>
                      <w:sz w:val="21"/>
                      <w:szCs w:val="21"/>
                      <w:highlight w:val="none"/>
                      <w:lang w:val="en-US" w:eastAsia="zh-CN"/>
                    </w:rPr>
                  </w:pPr>
                </w:p>
              </w:tc>
            </w:tr>
          </w:tbl>
          <w:p>
            <w:pPr>
              <w:keepNext w:val="0"/>
              <w:keepLines w:val="0"/>
              <w:pageBreakBefore w:val="0"/>
              <w:widowControl w:val="0"/>
              <w:kinsoku/>
              <w:wordWrap/>
              <w:overflowPunct/>
              <w:topLinePunct w:val="0"/>
              <w:autoSpaceDE/>
              <w:autoSpaceDN/>
              <w:bidi w:val="0"/>
              <w:adjustRightInd w:val="0"/>
              <w:snapToGrid w:val="0"/>
              <w:spacing w:before="63" w:beforeLines="20" w:after="0" w:line="288" w:lineRule="auto"/>
              <w:jc w:val="left"/>
              <w:textAlignment w:val="auto"/>
              <w:outlineLvl w:val="9"/>
              <w:rPr>
                <w:rFonts w:hint="default" w:ascii="Times New Roman" w:hAnsi="Times New Roman" w:eastAsia="宋体" w:cs="Times New Roman"/>
                <w:color w:val="000000"/>
                <w:sz w:val="21"/>
                <w:szCs w:val="21"/>
                <w:lang w:eastAsia="zh-CN"/>
              </w:rPr>
            </w:pPr>
          </w:p>
          <w:p>
            <w:pPr>
              <w:keepNext w:val="0"/>
              <w:keepLines w:val="0"/>
              <w:pageBreakBefore w:val="0"/>
              <w:widowControl w:val="0"/>
              <w:kinsoku/>
              <w:wordWrap/>
              <w:overflowPunct/>
              <w:topLinePunct w:val="0"/>
              <w:autoSpaceDE/>
              <w:autoSpaceDN/>
              <w:bidi w:val="0"/>
              <w:adjustRightInd w:val="0"/>
              <w:snapToGrid w:val="0"/>
              <w:spacing w:before="63" w:beforeLines="20" w:after="0" w:line="288" w:lineRule="auto"/>
              <w:ind w:firstLine="210" w:firstLineChars="100"/>
              <w:jc w:val="left"/>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val="en-US" w:eastAsia="zh-CN"/>
              </w:rPr>
              <w:t>2</w:t>
            </w:r>
            <w:r>
              <w:rPr>
                <w:rFonts w:hint="default" w:ascii="Times New Roman" w:hAnsi="Times New Roman" w:eastAsia="宋体" w:cs="Times New Roman"/>
                <w:color w:val="000000"/>
                <w:sz w:val="21"/>
                <w:szCs w:val="21"/>
                <w:lang w:eastAsia="zh-CN"/>
              </w:rPr>
              <w:t>、噪声</w:t>
            </w:r>
          </w:p>
          <w:p>
            <w:pPr>
              <w:keepNext w:val="0"/>
              <w:keepLines w:val="0"/>
              <w:pageBreakBefore w:val="0"/>
              <w:widowControl w:val="0"/>
              <w:kinsoku/>
              <w:wordWrap/>
              <w:overflowPunct/>
              <w:topLinePunct w:val="0"/>
              <w:autoSpaceDE/>
              <w:autoSpaceDN/>
              <w:bidi w:val="0"/>
              <w:adjustRightInd w:val="0"/>
              <w:snapToGrid w:val="0"/>
              <w:spacing w:before="63" w:beforeLines="20" w:after="0" w:line="288" w:lineRule="auto"/>
              <w:ind w:firstLine="420" w:firstLineChars="200"/>
              <w:jc w:val="left"/>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本项目噪声执行《工业企业厂界环境噪声排放标准》（GB12348-2008）2类区，具体标准值见表</w:t>
            </w:r>
            <w:r>
              <w:rPr>
                <w:rFonts w:hint="default" w:ascii="Times New Roman" w:hAnsi="Times New Roman" w:eastAsia="宋体" w:cs="Times New Roman"/>
                <w:color w:val="000000"/>
                <w:sz w:val="21"/>
                <w:szCs w:val="21"/>
                <w:lang w:val="en-US" w:eastAsia="zh-CN"/>
              </w:rPr>
              <w:t>1</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lang w:val="en-US" w:eastAsia="zh-CN"/>
              </w:rPr>
              <w:t>2</w:t>
            </w:r>
            <w:r>
              <w:rPr>
                <w:rFonts w:hint="default" w:ascii="Times New Roman" w:hAnsi="Times New Roman" w:eastAsia="宋体" w:cs="Times New Roman"/>
                <w:color w:val="000000"/>
                <w:sz w:val="21"/>
                <w:szCs w:val="21"/>
                <w:lang w:eastAsia="zh-CN"/>
              </w:rPr>
              <w:t>。</w:t>
            </w:r>
          </w:p>
          <w:p>
            <w:pPr>
              <w:keepNext w:val="0"/>
              <w:keepLines w:val="0"/>
              <w:pageBreakBefore w:val="0"/>
              <w:widowControl w:val="0"/>
              <w:kinsoku/>
              <w:wordWrap/>
              <w:overflowPunct/>
              <w:topLinePunct w:val="0"/>
              <w:autoSpaceDE/>
              <w:autoSpaceDN/>
              <w:bidi w:val="0"/>
              <w:adjustRightInd w:val="0"/>
              <w:snapToGrid w:val="0"/>
              <w:spacing w:before="63" w:beforeLines="20" w:after="0" w:line="288" w:lineRule="auto"/>
              <w:ind w:firstLine="1890" w:firstLineChars="900"/>
              <w:jc w:val="left"/>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表</w:t>
            </w:r>
            <w:r>
              <w:rPr>
                <w:rFonts w:hint="default" w:ascii="Times New Roman" w:hAnsi="Times New Roman" w:eastAsia="宋体" w:cs="Times New Roman"/>
                <w:color w:val="000000"/>
                <w:sz w:val="21"/>
                <w:szCs w:val="21"/>
                <w:lang w:val="en-US" w:eastAsia="zh-CN"/>
              </w:rPr>
              <w:t>1</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lang w:val="en-US" w:eastAsia="zh-CN"/>
              </w:rPr>
              <w:t>2</w:t>
            </w:r>
            <w:r>
              <w:rPr>
                <w:rFonts w:hint="default" w:ascii="Times New Roman" w:hAnsi="Times New Roman" w:eastAsia="宋体" w:cs="Times New Roman"/>
                <w:color w:val="000000"/>
                <w:sz w:val="21"/>
                <w:szCs w:val="21"/>
                <w:lang w:eastAsia="zh-CN"/>
              </w:rPr>
              <w:t xml:space="preserve"> 噪声验收监测评价标准 单位：dB(A)</w:t>
            </w:r>
          </w:p>
          <w:tbl>
            <w:tblPr>
              <w:tblStyle w:val="9"/>
              <w:tblW w:w="530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7"/>
              <w:gridCol w:w="1642"/>
              <w:gridCol w:w="1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jc w:val="center"/>
              </w:trPr>
              <w:tc>
                <w:tcPr>
                  <w:tcW w:w="1787" w:type="dxa"/>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0" w:line="288" w:lineRule="auto"/>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监测项目</w:t>
                  </w:r>
                </w:p>
              </w:tc>
              <w:tc>
                <w:tcPr>
                  <w:tcW w:w="1642" w:type="dxa"/>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0" w:line="288" w:lineRule="auto"/>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昼间</w:t>
                  </w:r>
                </w:p>
              </w:tc>
              <w:tc>
                <w:tcPr>
                  <w:tcW w:w="1880" w:type="dxa"/>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0" w:line="288" w:lineRule="auto"/>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787" w:type="dxa"/>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0" w:line="288" w:lineRule="auto"/>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标准值</w:t>
                  </w:r>
                </w:p>
              </w:tc>
              <w:tc>
                <w:tcPr>
                  <w:tcW w:w="1642" w:type="dxa"/>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0" w:line="288" w:lineRule="auto"/>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60</w:t>
                  </w:r>
                </w:p>
              </w:tc>
              <w:tc>
                <w:tcPr>
                  <w:tcW w:w="1880" w:type="dxa"/>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0" w:line="288" w:lineRule="auto"/>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50</w:t>
                  </w:r>
                </w:p>
              </w:tc>
            </w:tr>
          </w:tbl>
          <w:p>
            <w:pPr>
              <w:keepNext w:val="0"/>
              <w:keepLines w:val="0"/>
              <w:pageBreakBefore w:val="0"/>
              <w:widowControl w:val="0"/>
              <w:kinsoku/>
              <w:wordWrap/>
              <w:overflowPunct/>
              <w:topLinePunct w:val="0"/>
              <w:autoSpaceDE/>
              <w:autoSpaceDN/>
              <w:bidi w:val="0"/>
              <w:adjustRightInd w:val="0"/>
              <w:snapToGrid w:val="0"/>
              <w:spacing w:before="63" w:beforeLines="20" w:after="0" w:line="288" w:lineRule="auto"/>
              <w:jc w:val="left"/>
              <w:textAlignment w:val="auto"/>
              <w:outlineLvl w:val="9"/>
              <w:rPr>
                <w:rFonts w:hint="default" w:ascii="Times New Roman" w:hAnsi="Times New Roman" w:eastAsia="宋体" w:cs="Times New Roman"/>
                <w:color w:val="000000"/>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before="63" w:beforeLines="20" w:after="0" w:line="288" w:lineRule="auto"/>
              <w:ind w:firstLine="210" w:firstLineChars="100"/>
              <w:jc w:val="left"/>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3、其他标准</w:t>
            </w:r>
          </w:p>
          <w:p>
            <w:pPr>
              <w:keepNext w:val="0"/>
              <w:keepLines w:val="0"/>
              <w:pageBreakBefore w:val="0"/>
              <w:widowControl w:val="0"/>
              <w:kinsoku/>
              <w:wordWrap/>
              <w:overflowPunct/>
              <w:topLinePunct w:val="0"/>
              <w:autoSpaceDE/>
              <w:autoSpaceDN/>
              <w:bidi w:val="0"/>
              <w:adjustRightInd w:val="0"/>
              <w:snapToGrid w:val="0"/>
              <w:spacing w:before="63" w:beforeLines="20" w:after="0" w:line="288" w:lineRule="auto"/>
              <w:ind w:firstLine="420" w:firstLineChars="200"/>
              <w:jc w:val="left"/>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(1)《危险废物贮存污染控制标准》（GB18597-2001）及《危险废物贮存污染控制标准》国家标准第1号修改单（GB18597-2001/XG1-2013）；</w:t>
            </w:r>
          </w:p>
          <w:p>
            <w:pPr>
              <w:keepNext w:val="0"/>
              <w:keepLines w:val="0"/>
              <w:pageBreakBefore w:val="0"/>
              <w:widowControl w:val="0"/>
              <w:kinsoku/>
              <w:wordWrap/>
              <w:overflowPunct/>
              <w:topLinePunct w:val="0"/>
              <w:autoSpaceDE/>
              <w:autoSpaceDN/>
              <w:bidi w:val="0"/>
              <w:adjustRightInd w:val="0"/>
              <w:snapToGrid w:val="0"/>
              <w:spacing w:before="63" w:beforeLines="20" w:after="0" w:line="288" w:lineRule="auto"/>
              <w:ind w:firstLine="420" w:firstLineChars="200"/>
              <w:jc w:val="left"/>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(2)《一般工业固体废物贮存、处置场污染控制标准》（GB18599—2001）及其修改单（2013年）。</w:t>
            </w:r>
          </w:p>
        </w:tc>
      </w:tr>
    </w:tbl>
    <w:p>
      <w:pPr>
        <w:spacing w:after="0" w:afterLines="0" w:line="360" w:lineRule="auto"/>
        <w:rPr>
          <w:rFonts w:hint="eastAsia" w:hAnsi="Arial" w:eastAsia="仿宋_GB2312" w:cs="Times New Roman"/>
          <w:b/>
          <w:color w:val="000000"/>
          <w:sz w:val="21"/>
          <w:szCs w:val="21"/>
          <w:lang w:val="en-US" w:eastAsia="zh-CN"/>
        </w:rPr>
      </w:pPr>
      <w:r>
        <w:rPr>
          <w:rFonts w:hint="eastAsia" w:hAnsi="Arial" w:eastAsia="仿宋_GB2312" w:cs="Times New Roman"/>
          <w:b/>
          <w:color w:val="000000"/>
          <w:sz w:val="21"/>
          <w:szCs w:val="21"/>
          <w:lang w:eastAsia="zh-CN"/>
        </w:rPr>
        <w:t>表二、项目建设内容</w:t>
      </w:r>
    </w:p>
    <w:tbl>
      <w:tblPr>
        <w:tblStyle w:val="9"/>
        <w:tblW w:w="89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29" w:hRule="atLeast"/>
        </w:trPr>
        <w:tc>
          <w:tcPr>
            <w:tcW w:w="8900" w:type="dxa"/>
          </w:tcPr>
          <w:p>
            <w:pPr>
              <w:keepNext w:val="0"/>
              <w:keepLines w:val="0"/>
              <w:pageBreakBefore w:val="0"/>
              <w:widowControl/>
              <w:numPr>
                <w:ilvl w:val="0"/>
                <w:numId w:val="0"/>
              </w:numPr>
              <w:kinsoku/>
              <w:wordWrap/>
              <w:overflowPunct/>
              <w:topLinePunct w:val="0"/>
              <w:autoSpaceDE/>
              <w:autoSpaceDN/>
              <w:bidi w:val="0"/>
              <w:adjustRightInd w:val="0"/>
              <w:snapToGrid w:val="0"/>
              <w:spacing w:after="100" w:line="288" w:lineRule="auto"/>
              <w:ind w:right="220" w:rightChars="100" w:firstLine="210" w:firstLineChars="100"/>
              <w:jc w:val="both"/>
              <w:textAlignment w:val="auto"/>
              <w:outlineLvl w:val="9"/>
              <w:rPr>
                <w:rFonts w:hint="default"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val="en-US" w:eastAsia="zh-CN"/>
              </w:rPr>
              <w:t>1、</w:t>
            </w:r>
            <w:r>
              <w:rPr>
                <w:rFonts w:hint="eastAsia" w:ascii="Times New Roman" w:hAnsi="Times New Roman" w:eastAsia="宋体" w:cs="Times New Roman"/>
                <w:color w:val="000000"/>
                <w:sz w:val="21"/>
                <w:szCs w:val="21"/>
                <w:lang w:eastAsia="zh-CN"/>
              </w:rPr>
              <w:t>工程建设内容</w:t>
            </w:r>
          </w:p>
          <w:p>
            <w:pPr>
              <w:keepNext w:val="0"/>
              <w:keepLines w:val="0"/>
              <w:pageBreakBefore w:val="0"/>
              <w:widowControl/>
              <w:numPr>
                <w:ilvl w:val="0"/>
                <w:numId w:val="0"/>
              </w:numPr>
              <w:kinsoku/>
              <w:wordWrap/>
              <w:overflowPunct/>
              <w:topLinePunct w:val="0"/>
              <w:autoSpaceDE/>
              <w:autoSpaceDN/>
              <w:bidi w:val="0"/>
              <w:adjustRightInd w:val="0"/>
              <w:snapToGrid w:val="0"/>
              <w:spacing w:after="100" w:line="288" w:lineRule="auto"/>
              <w:ind w:right="220" w:rightChars="100" w:firstLine="420" w:firstLineChars="200"/>
              <w:jc w:val="both"/>
              <w:textAlignment w:val="auto"/>
              <w:outlineLvl w:val="9"/>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eastAsia="zh-CN"/>
              </w:rPr>
              <w:t>（</w:t>
            </w:r>
            <w:r>
              <w:rPr>
                <w:rFonts w:hint="eastAsia" w:ascii="Times New Roman" w:hAnsi="Times New Roman" w:eastAsia="宋体" w:cs="Times New Roman"/>
                <w:color w:val="000000"/>
                <w:sz w:val="21"/>
                <w:szCs w:val="21"/>
                <w:lang w:val="en-US" w:eastAsia="zh-CN"/>
              </w:rPr>
              <w:t>1</w:t>
            </w:r>
            <w:r>
              <w:rPr>
                <w:rFonts w:hint="eastAsia" w:ascii="Times New Roman" w:hAnsi="Times New Roman" w:eastAsia="宋体" w:cs="Times New Roman"/>
                <w:color w:val="000000"/>
                <w:sz w:val="21"/>
                <w:szCs w:val="21"/>
                <w:lang w:eastAsia="zh-CN"/>
              </w:rPr>
              <w:t>）项目建设位置</w:t>
            </w:r>
          </w:p>
          <w:p>
            <w:pPr>
              <w:keepNext w:val="0"/>
              <w:keepLines w:val="0"/>
              <w:pageBreakBefore w:val="0"/>
              <w:widowControl/>
              <w:numPr>
                <w:ilvl w:val="0"/>
                <w:numId w:val="0"/>
              </w:numPr>
              <w:kinsoku/>
              <w:wordWrap/>
              <w:overflowPunct/>
              <w:topLinePunct w:val="0"/>
              <w:autoSpaceDE/>
              <w:autoSpaceDN/>
              <w:bidi w:val="0"/>
              <w:adjustRightInd w:val="0"/>
              <w:snapToGrid w:val="0"/>
              <w:spacing w:after="100" w:line="288" w:lineRule="auto"/>
              <w:ind w:right="220" w:rightChars="100" w:firstLine="420" w:firstLineChars="200"/>
              <w:jc w:val="both"/>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eastAsia="zh-CN"/>
              </w:rPr>
              <w:t>本项目</w:t>
            </w:r>
            <w:r>
              <w:rPr>
                <w:rFonts w:hint="default" w:ascii="Times New Roman" w:hAnsi="Times New Roman" w:eastAsia="宋体" w:cs="Times New Roman"/>
                <w:color w:val="000000"/>
                <w:sz w:val="21"/>
                <w:szCs w:val="21"/>
                <w:lang w:val="en-US" w:eastAsia="zh-CN"/>
              </w:rPr>
              <w:t>位于</w:t>
            </w:r>
            <w:r>
              <w:rPr>
                <w:rFonts w:hint="default" w:ascii="Times New Roman" w:hAnsi="Times New Roman" w:eastAsia="宋体" w:cs="Times New Roman"/>
                <w:color w:val="000000"/>
                <w:sz w:val="21"/>
                <w:szCs w:val="21"/>
                <w:lang w:eastAsia="zh-CN"/>
              </w:rPr>
              <w:t>云岩区枣山路126号</w:t>
            </w:r>
            <w:r>
              <w:rPr>
                <w:rFonts w:hint="default" w:ascii="Times New Roman" w:hAnsi="Times New Roman" w:eastAsia="宋体" w:cs="Times New Roman"/>
                <w:color w:val="000000"/>
                <w:sz w:val="21"/>
                <w:szCs w:val="21"/>
                <w:lang w:val="en-US" w:eastAsia="zh-CN"/>
              </w:rPr>
              <w:t>(</w:t>
            </w:r>
            <w:r>
              <w:rPr>
                <w:rFonts w:hint="default" w:ascii="Times New Roman" w:hAnsi="Times New Roman" w:eastAsia="宋体" w:cs="Times New Roman"/>
                <w:color w:val="000000"/>
                <w:sz w:val="21"/>
                <w:szCs w:val="21"/>
                <w:lang w:eastAsia="zh-CN"/>
              </w:rPr>
              <w:t>一层隔层及二层</w:t>
            </w:r>
            <w:r>
              <w:rPr>
                <w:rFonts w:hint="default" w:ascii="Times New Roman" w:hAnsi="Times New Roman" w:eastAsia="宋体" w:cs="Times New Roman"/>
                <w:color w:val="000000"/>
                <w:sz w:val="21"/>
                <w:szCs w:val="21"/>
                <w:lang w:val="en-US" w:eastAsia="zh-CN"/>
              </w:rPr>
              <w:t>)</w:t>
            </w:r>
            <w:r>
              <w:rPr>
                <w:rFonts w:hint="default" w:ascii="Times New Roman" w:hAnsi="Times New Roman" w:eastAsia="宋体" w:cs="Times New Roman"/>
                <w:color w:val="000000"/>
                <w:sz w:val="21"/>
                <w:szCs w:val="21"/>
                <w:lang w:eastAsia="zh-CN"/>
              </w:rPr>
              <w:t>，中心点地理坐标为东经106°41′36″，北纬26°35′29″，总建筑面积75</w:t>
            </w:r>
            <w:r>
              <w:rPr>
                <w:rFonts w:hint="default" w:ascii="Times New Roman" w:hAnsi="Times New Roman" w:eastAsia="宋体" w:cs="Times New Roman"/>
                <w:color w:val="000000"/>
                <w:sz w:val="21"/>
                <w:szCs w:val="21"/>
                <w:lang w:val="en-US" w:eastAsia="zh-CN"/>
              </w:rPr>
              <w:t>4㎡</w:t>
            </w:r>
            <w:r>
              <w:rPr>
                <w:rFonts w:hint="default" w:ascii="Times New Roman" w:hAnsi="Times New Roman" w:eastAsia="宋体" w:cs="Times New Roman"/>
                <w:color w:val="000000"/>
                <w:sz w:val="21"/>
                <w:szCs w:val="21"/>
                <w:lang w:eastAsia="zh-CN"/>
              </w:rPr>
              <w:t>，主要建设内容包括药房、大厅、B超室、心电图室、检查室、肌注治疗室、计划生育室、牙片室、内科诊室、外科诊室、妇科门诊室、医疗固废暂存间、办公室和库房等，</w:t>
            </w:r>
            <w:r>
              <w:rPr>
                <w:rFonts w:hint="default" w:ascii="Times New Roman" w:hAnsi="Times New Roman" w:eastAsia="宋体" w:cs="Times New Roman"/>
                <w:color w:val="000000"/>
                <w:sz w:val="21"/>
                <w:szCs w:val="21"/>
                <w:lang w:val="en-US" w:eastAsia="zh-CN"/>
              </w:rPr>
              <w:t>不设</w:t>
            </w:r>
            <w:r>
              <w:rPr>
                <w:rFonts w:hint="default" w:ascii="Times New Roman" w:hAnsi="Times New Roman" w:eastAsia="宋体" w:cs="Times New Roman"/>
                <w:color w:val="000000"/>
                <w:sz w:val="21"/>
                <w:szCs w:val="21"/>
                <w:lang w:eastAsia="zh-CN"/>
              </w:rPr>
              <w:t>食堂、宿舍</w:t>
            </w:r>
            <w:r>
              <w:rPr>
                <w:rFonts w:hint="default" w:ascii="Times New Roman" w:hAnsi="Times New Roman" w:eastAsia="宋体" w:cs="Times New Roman"/>
                <w:color w:val="000000"/>
                <w:sz w:val="21"/>
                <w:szCs w:val="21"/>
                <w:lang w:val="en-US" w:eastAsia="zh-CN"/>
              </w:rPr>
              <w:t>及浴室。项目交通位置图见图2-1。</w:t>
            </w:r>
          </w:p>
          <w:p>
            <w:pPr>
              <w:keepNext w:val="0"/>
              <w:keepLines w:val="0"/>
              <w:pageBreakBefore w:val="0"/>
              <w:widowControl/>
              <w:numPr>
                <w:ilvl w:val="0"/>
                <w:numId w:val="0"/>
              </w:numPr>
              <w:kinsoku/>
              <w:wordWrap/>
              <w:overflowPunct/>
              <w:topLinePunct w:val="0"/>
              <w:autoSpaceDE/>
              <w:autoSpaceDN/>
              <w:bidi w:val="0"/>
              <w:adjustRightInd w:val="0"/>
              <w:snapToGrid w:val="0"/>
              <w:spacing w:after="100" w:line="288" w:lineRule="auto"/>
              <w:ind w:right="220" w:rightChars="100"/>
              <w:jc w:val="both"/>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rPr>
              <w:drawing>
                <wp:inline distT="0" distB="0" distL="114300" distR="114300">
                  <wp:extent cx="5545455" cy="3423920"/>
                  <wp:effectExtent l="0" t="0" r="17145" b="508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5"/>
                          <a:stretch>
                            <a:fillRect/>
                          </a:stretch>
                        </pic:blipFill>
                        <pic:spPr>
                          <a:xfrm>
                            <a:off x="0" y="0"/>
                            <a:ext cx="5545455" cy="342392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48" w:beforeLines="20" w:after="100" w:line="288" w:lineRule="auto"/>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图2-1项目交通位置图</w:t>
            </w:r>
          </w:p>
          <w:p>
            <w:pPr>
              <w:keepNext w:val="0"/>
              <w:keepLines w:val="0"/>
              <w:pageBreakBefore w:val="0"/>
              <w:widowControl/>
              <w:numPr>
                <w:ilvl w:val="0"/>
                <w:numId w:val="0"/>
              </w:numPr>
              <w:kinsoku/>
              <w:wordWrap/>
              <w:overflowPunct/>
              <w:topLinePunct w:val="0"/>
              <w:autoSpaceDE/>
              <w:autoSpaceDN/>
              <w:bidi w:val="0"/>
              <w:adjustRightInd w:val="0"/>
              <w:snapToGrid w:val="0"/>
              <w:spacing w:after="100" w:line="288" w:lineRule="auto"/>
              <w:ind w:right="220" w:rightChars="100" w:firstLine="420" w:firstLineChars="200"/>
              <w:jc w:val="both"/>
              <w:textAlignment w:val="auto"/>
              <w:outlineLvl w:val="9"/>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（2）环评阶段项目建设内容</w:t>
            </w:r>
          </w:p>
          <w:p>
            <w:pPr>
              <w:keepNext w:val="0"/>
              <w:keepLines w:val="0"/>
              <w:pageBreakBefore w:val="0"/>
              <w:widowControl/>
              <w:numPr>
                <w:ilvl w:val="0"/>
                <w:numId w:val="0"/>
              </w:numPr>
              <w:kinsoku/>
              <w:wordWrap/>
              <w:overflowPunct/>
              <w:topLinePunct w:val="0"/>
              <w:autoSpaceDE/>
              <w:autoSpaceDN/>
              <w:bidi w:val="0"/>
              <w:adjustRightInd w:val="0"/>
              <w:snapToGrid w:val="0"/>
              <w:spacing w:after="100" w:line="288" w:lineRule="auto"/>
              <w:ind w:right="220" w:rightChars="100" w:firstLine="420" w:firstLineChars="200"/>
              <w:jc w:val="both"/>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环评阶段建设内容见表2-1,卫生服务站一、二层平面图见图2-2和图2-3</w:t>
            </w:r>
            <w:r>
              <w:rPr>
                <w:rFonts w:hint="eastAsia" w:ascii="Times New Roman" w:hAnsi="Times New Roman" w:eastAsia="宋体" w:cs="Times New Roman"/>
                <w:color w:val="000000"/>
                <w:sz w:val="21"/>
                <w:szCs w:val="21"/>
                <w:lang w:val="en-US" w:eastAsia="zh-CN"/>
              </w:rPr>
              <w:t>。</w:t>
            </w:r>
          </w:p>
          <w:p>
            <w:pPr>
              <w:keepNext w:val="0"/>
              <w:keepLines w:val="0"/>
              <w:pageBreakBefore w:val="0"/>
              <w:widowControl w:val="0"/>
              <w:kinsoku/>
              <w:wordWrap/>
              <w:overflowPunct/>
              <w:topLinePunct w:val="0"/>
              <w:autoSpaceDE/>
              <w:autoSpaceDN/>
              <w:bidi w:val="0"/>
              <w:adjustRightInd w:val="0"/>
              <w:snapToGrid w:val="0"/>
              <w:spacing w:before="48" w:beforeLines="20" w:after="100" w:line="288" w:lineRule="auto"/>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eastAsia="zh-CN"/>
              </w:rPr>
              <w:t>表</w:t>
            </w:r>
            <w:r>
              <w:rPr>
                <w:rFonts w:hint="default" w:ascii="Times New Roman" w:hAnsi="Times New Roman" w:eastAsia="宋体" w:cs="Times New Roman"/>
                <w:color w:val="000000"/>
                <w:sz w:val="21"/>
                <w:szCs w:val="21"/>
                <w:lang w:val="en-US" w:eastAsia="zh-CN"/>
              </w:rPr>
              <w:t>2-</w:t>
            </w:r>
            <w:r>
              <w:rPr>
                <w:rFonts w:hint="default" w:ascii="Times New Roman" w:hAnsi="Times New Roman" w:eastAsia="宋体" w:cs="Times New Roman"/>
                <w:color w:val="000000"/>
                <w:sz w:val="21"/>
                <w:szCs w:val="21"/>
                <w:lang w:eastAsia="zh-CN"/>
              </w:rPr>
              <w:t>1</w:t>
            </w:r>
            <w:r>
              <w:rPr>
                <w:rFonts w:hint="default" w:ascii="Times New Roman" w:hAnsi="Times New Roman" w:eastAsia="宋体" w:cs="Times New Roman"/>
                <w:color w:val="000000"/>
                <w:sz w:val="21"/>
                <w:szCs w:val="21"/>
                <w:lang w:val="en-US" w:eastAsia="zh-CN"/>
              </w:rPr>
              <w:t xml:space="preserve"> </w:t>
            </w:r>
            <w:r>
              <w:rPr>
                <w:rFonts w:hint="default" w:ascii="Times New Roman" w:hAnsi="Times New Roman" w:eastAsia="宋体" w:cs="Times New Roman"/>
                <w:color w:val="000000"/>
                <w:sz w:val="21"/>
                <w:szCs w:val="21"/>
                <w:lang w:eastAsia="zh-CN"/>
              </w:rPr>
              <w:t>项目建设内容一览表</w:t>
            </w:r>
          </w:p>
          <w:tbl>
            <w:tblPr>
              <w:tblStyle w:val="8"/>
              <w:tblW w:w="86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1"/>
              <w:gridCol w:w="936"/>
              <w:gridCol w:w="2001"/>
              <w:gridCol w:w="1636"/>
              <w:gridCol w:w="1099"/>
              <w:gridCol w:w="1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31" w:type="dxa"/>
                  <w:vAlign w:val="center"/>
                </w:tcPr>
                <w:p>
                  <w:pPr>
                    <w:snapToGrid w:val="0"/>
                    <w:spacing w:line="32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序号</w:t>
                  </w:r>
                </w:p>
              </w:tc>
              <w:tc>
                <w:tcPr>
                  <w:tcW w:w="936"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楼层</w:t>
                  </w:r>
                </w:p>
              </w:tc>
              <w:tc>
                <w:tcPr>
                  <w:tcW w:w="200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建设内容</w:t>
                  </w:r>
                </w:p>
              </w:tc>
              <w:tc>
                <w:tcPr>
                  <w:tcW w:w="1636" w:type="dxa"/>
                  <w:vAlign w:val="center"/>
                </w:tcPr>
                <w:p>
                  <w:pPr>
                    <w:snapToGrid w:val="0"/>
                    <w:spacing w:line="320" w:lineRule="exact"/>
                    <w:ind w:left="-110" w:leftChars="-50" w:right="-110"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总建筑面积(m</w:t>
                  </w:r>
                  <w:r>
                    <w:rPr>
                      <w:rFonts w:hint="default" w:ascii="Times New Roman" w:hAnsi="Times New Roman" w:eastAsia="宋体" w:cs="Times New Roman"/>
                      <w:color w:val="000000"/>
                      <w:sz w:val="21"/>
                      <w:szCs w:val="21"/>
                      <w:vertAlign w:val="superscript"/>
                    </w:rPr>
                    <w:t>2</w:t>
                  </w:r>
                  <w:r>
                    <w:rPr>
                      <w:rFonts w:hint="default" w:ascii="Times New Roman" w:hAnsi="Times New Roman" w:eastAsia="宋体" w:cs="Times New Roman"/>
                      <w:color w:val="000000"/>
                      <w:sz w:val="21"/>
                      <w:szCs w:val="21"/>
                    </w:rPr>
                    <w:t>)</w:t>
                  </w:r>
                </w:p>
              </w:tc>
              <w:tc>
                <w:tcPr>
                  <w:tcW w:w="1099"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数量(间)</w:t>
                  </w:r>
                </w:p>
              </w:tc>
              <w:tc>
                <w:tcPr>
                  <w:tcW w:w="187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功能分区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31" w:type="dxa"/>
                  <w:vAlign w:val="center"/>
                </w:tcPr>
                <w:p>
                  <w:pPr>
                    <w:snapToGrid w:val="0"/>
                    <w:spacing w:line="320" w:lineRule="exact"/>
                    <w:jc w:val="center"/>
                    <w:rPr>
                      <w:rFonts w:hint="default" w:ascii="Times New Roman" w:hAnsi="Times New Roman" w:eastAsia="宋体" w:cs="Times New Roman"/>
                      <w:color w:val="000000"/>
                      <w:sz w:val="21"/>
                      <w:szCs w:val="21"/>
                    </w:rPr>
                  </w:pPr>
                  <w:bookmarkStart w:id="0" w:name="OLE_LINK2" w:colFirst="2" w:colLast="2"/>
                  <w:bookmarkStart w:id="1" w:name="OLE_LINK1" w:colFirst="2" w:colLast="2"/>
                  <w:r>
                    <w:rPr>
                      <w:rFonts w:hint="default" w:ascii="Times New Roman" w:hAnsi="Times New Roman" w:eastAsia="宋体" w:cs="Times New Roman"/>
                      <w:color w:val="000000"/>
                      <w:sz w:val="21"/>
                      <w:szCs w:val="21"/>
                    </w:rPr>
                    <w:t>1</w:t>
                  </w:r>
                </w:p>
              </w:tc>
              <w:tc>
                <w:tcPr>
                  <w:tcW w:w="936" w:type="dxa"/>
                  <w:vMerge w:val="restart"/>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一层</w:t>
                  </w:r>
                </w:p>
              </w:tc>
              <w:tc>
                <w:tcPr>
                  <w:tcW w:w="200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药房</w:t>
                  </w:r>
                </w:p>
              </w:tc>
              <w:tc>
                <w:tcPr>
                  <w:tcW w:w="1636"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18.73</w:t>
                  </w:r>
                </w:p>
              </w:tc>
              <w:tc>
                <w:tcPr>
                  <w:tcW w:w="1099"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187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药剂分类及供给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113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w:t>
                  </w:r>
                </w:p>
              </w:tc>
              <w:tc>
                <w:tcPr>
                  <w:tcW w:w="936" w:type="dxa"/>
                  <w:vMerge w:val="continue"/>
                  <w:vAlign w:val="center"/>
                </w:tcPr>
                <w:p>
                  <w:pPr>
                    <w:snapToGrid w:val="0"/>
                    <w:spacing w:line="320" w:lineRule="exact"/>
                    <w:jc w:val="center"/>
                    <w:rPr>
                      <w:rFonts w:hint="default" w:ascii="Times New Roman" w:hAnsi="Times New Roman" w:eastAsia="宋体" w:cs="Times New Roman"/>
                      <w:color w:val="000000"/>
                      <w:sz w:val="21"/>
                      <w:szCs w:val="21"/>
                    </w:rPr>
                  </w:pPr>
                </w:p>
              </w:tc>
              <w:tc>
                <w:tcPr>
                  <w:tcW w:w="200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大厅</w:t>
                  </w:r>
                </w:p>
              </w:tc>
              <w:tc>
                <w:tcPr>
                  <w:tcW w:w="1636"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45.66</w:t>
                  </w:r>
                </w:p>
              </w:tc>
              <w:tc>
                <w:tcPr>
                  <w:tcW w:w="1099"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187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会诊等待区</w:t>
                  </w:r>
                </w:p>
              </w:tc>
            </w:tr>
            <w:bookmarkEnd w:id="0"/>
            <w:bookmarkEnd w:id="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3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w:t>
                  </w:r>
                </w:p>
              </w:tc>
              <w:tc>
                <w:tcPr>
                  <w:tcW w:w="936" w:type="dxa"/>
                  <w:vMerge w:val="restart"/>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二层</w:t>
                  </w:r>
                </w:p>
              </w:tc>
              <w:tc>
                <w:tcPr>
                  <w:tcW w:w="200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药房</w:t>
                  </w:r>
                </w:p>
              </w:tc>
              <w:tc>
                <w:tcPr>
                  <w:tcW w:w="1636"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21.19</w:t>
                  </w:r>
                </w:p>
              </w:tc>
              <w:tc>
                <w:tcPr>
                  <w:tcW w:w="1099"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187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药剂分类及供给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3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4</w:t>
                  </w:r>
                </w:p>
              </w:tc>
              <w:tc>
                <w:tcPr>
                  <w:tcW w:w="936" w:type="dxa"/>
                  <w:vMerge w:val="continue"/>
                  <w:vAlign w:val="center"/>
                </w:tcPr>
                <w:p>
                  <w:pPr>
                    <w:snapToGrid w:val="0"/>
                    <w:spacing w:line="320" w:lineRule="exact"/>
                    <w:jc w:val="center"/>
                    <w:rPr>
                      <w:rFonts w:hint="default" w:ascii="Times New Roman" w:hAnsi="Times New Roman" w:eastAsia="宋体" w:cs="Times New Roman"/>
                      <w:color w:val="000000"/>
                      <w:sz w:val="21"/>
                      <w:szCs w:val="21"/>
                    </w:rPr>
                  </w:pPr>
                </w:p>
              </w:tc>
              <w:tc>
                <w:tcPr>
                  <w:tcW w:w="200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大厅</w:t>
                  </w:r>
                </w:p>
              </w:tc>
              <w:tc>
                <w:tcPr>
                  <w:tcW w:w="1636"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290</w:t>
                  </w:r>
                </w:p>
              </w:tc>
              <w:tc>
                <w:tcPr>
                  <w:tcW w:w="1099"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187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会诊等待区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3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5</w:t>
                  </w:r>
                </w:p>
              </w:tc>
              <w:tc>
                <w:tcPr>
                  <w:tcW w:w="936" w:type="dxa"/>
                  <w:vMerge w:val="continue"/>
                  <w:vAlign w:val="center"/>
                </w:tcPr>
                <w:p>
                  <w:pPr>
                    <w:snapToGrid w:val="0"/>
                    <w:spacing w:line="320" w:lineRule="exact"/>
                    <w:jc w:val="center"/>
                    <w:rPr>
                      <w:rFonts w:hint="default" w:ascii="Times New Roman" w:hAnsi="Times New Roman" w:eastAsia="宋体" w:cs="Times New Roman"/>
                      <w:color w:val="000000"/>
                      <w:sz w:val="21"/>
                      <w:szCs w:val="21"/>
                    </w:rPr>
                  </w:pPr>
                </w:p>
              </w:tc>
              <w:tc>
                <w:tcPr>
                  <w:tcW w:w="200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会议室</w:t>
                  </w:r>
                </w:p>
              </w:tc>
              <w:tc>
                <w:tcPr>
                  <w:tcW w:w="1636"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37.01</w:t>
                  </w:r>
                </w:p>
              </w:tc>
              <w:tc>
                <w:tcPr>
                  <w:tcW w:w="1099"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187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会议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3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6</w:t>
                  </w:r>
                </w:p>
              </w:tc>
              <w:tc>
                <w:tcPr>
                  <w:tcW w:w="936" w:type="dxa"/>
                  <w:vMerge w:val="continue"/>
                  <w:vAlign w:val="center"/>
                </w:tcPr>
                <w:p>
                  <w:pPr>
                    <w:snapToGrid w:val="0"/>
                    <w:spacing w:line="320" w:lineRule="exact"/>
                    <w:jc w:val="center"/>
                    <w:rPr>
                      <w:rFonts w:hint="default" w:ascii="Times New Roman" w:hAnsi="Times New Roman" w:eastAsia="宋体" w:cs="Times New Roman"/>
                      <w:color w:val="000000"/>
                      <w:sz w:val="21"/>
                      <w:szCs w:val="21"/>
                    </w:rPr>
                  </w:pPr>
                </w:p>
              </w:tc>
              <w:tc>
                <w:tcPr>
                  <w:tcW w:w="200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挂号收费室</w:t>
                  </w:r>
                </w:p>
              </w:tc>
              <w:tc>
                <w:tcPr>
                  <w:tcW w:w="1636"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10.81</w:t>
                  </w:r>
                </w:p>
              </w:tc>
              <w:tc>
                <w:tcPr>
                  <w:tcW w:w="1099"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187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挂号、收费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3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7</w:t>
                  </w:r>
                </w:p>
              </w:tc>
              <w:tc>
                <w:tcPr>
                  <w:tcW w:w="936" w:type="dxa"/>
                  <w:vMerge w:val="continue"/>
                  <w:vAlign w:val="center"/>
                </w:tcPr>
                <w:p>
                  <w:pPr>
                    <w:snapToGrid w:val="0"/>
                    <w:spacing w:line="320" w:lineRule="exact"/>
                    <w:jc w:val="center"/>
                    <w:rPr>
                      <w:rFonts w:hint="default" w:ascii="Times New Roman" w:hAnsi="Times New Roman" w:eastAsia="宋体" w:cs="Times New Roman"/>
                      <w:color w:val="000000"/>
                      <w:sz w:val="21"/>
                      <w:szCs w:val="21"/>
                    </w:rPr>
                  </w:pPr>
                </w:p>
              </w:tc>
              <w:tc>
                <w:tcPr>
                  <w:tcW w:w="200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肌注治疗室</w:t>
                  </w:r>
                </w:p>
              </w:tc>
              <w:tc>
                <w:tcPr>
                  <w:tcW w:w="1636"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7.71</w:t>
                  </w:r>
                </w:p>
              </w:tc>
              <w:tc>
                <w:tcPr>
                  <w:tcW w:w="1099"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1871" w:type="dxa"/>
                  <w:vMerge w:val="restart"/>
                  <w:vAlign w:val="center"/>
                </w:tcPr>
                <w:p>
                  <w:pPr>
                    <w:snapToGrid w:val="0"/>
                    <w:spacing w:line="32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提供协作式的医疗服务、综合性的医疗保健(</w:t>
                  </w:r>
                  <w:r>
                    <w:rPr>
                      <w:rFonts w:hint="default" w:ascii="Times New Roman" w:hAnsi="Times New Roman" w:eastAsia="宋体" w:cs="Times New Roman"/>
                      <w:color w:val="000000"/>
                      <w:sz w:val="21"/>
                      <w:szCs w:val="21"/>
                      <w:lang w:val="en-US" w:eastAsia="zh-CN"/>
                    </w:rPr>
                    <w:t>包括</w:t>
                  </w:r>
                  <w:r>
                    <w:rPr>
                      <w:rFonts w:hint="default" w:ascii="Times New Roman" w:hAnsi="Times New Roman" w:eastAsia="宋体" w:cs="Times New Roman"/>
                      <w:color w:val="000000"/>
                      <w:sz w:val="21"/>
                      <w:szCs w:val="21"/>
                      <w:lang w:eastAsia="zh-CN"/>
                    </w:rPr>
                    <w:t>常见病与多发病治疗、</w:t>
                  </w:r>
                  <w:r>
                    <w:rPr>
                      <w:rFonts w:hint="default" w:ascii="Times New Roman" w:hAnsi="Times New Roman" w:eastAsia="宋体" w:cs="Times New Roman"/>
                      <w:color w:val="000000"/>
                      <w:sz w:val="21"/>
                      <w:szCs w:val="21"/>
                      <w:lang w:val="en-US" w:eastAsia="zh-CN"/>
                    </w:rPr>
                    <w:t>妇科检查</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lang w:val="en-US" w:eastAsia="zh-CN"/>
                    </w:rPr>
                    <w:t>牙科检查、</w:t>
                  </w:r>
                  <w:r>
                    <w:rPr>
                      <w:rFonts w:hint="default" w:ascii="Times New Roman" w:hAnsi="Times New Roman" w:eastAsia="宋体" w:cs="Times New Roman"/>
                      <w:color w:val="000000"/>
                      <w:sz w:val="21"/>
                      <w:szCs w:val="21"/>
                      <w:lang w:eastAsia="zh-CN"/>
                    </w:rPr>
                    <w:t>体质调整)等</w:t>
                  </w:r>
                  <w:r>
                    <w:rPr>
                      <w:rFonts w:hint="default" w:ascii="Times New Roman" w:hAnsi="Times New Roman" w:eastAsia="宋体" w:cs="Times New Roman"/>
                      <w:color w:val="000000"/>
                      <w:sz w:val="21"/>
                      <w:szCs w:val="21"/>
                      <w:lang w:val="en-US" w:eastAsia="zh-CN"/>
                    </w:rPr>
                    <w:t>医</w:t>
                  </w:r>
                  <w:r>
                    <w:rPr>
                      <w:rFonts w:hint="default" w:ascii="Times New Roman" w:hAnsi="Times New Roman" w:eastAsia="宋体" w:cs="Times New Roman"/>
                      <w:color w:val="000000"/>
                      <w:sz w:val="21"/>
                      <w:szCs w:val="21"/>
                      <w:lang w:eastAsia="zh-CN"/>
                    </w:rPr>
                    <w:t>疗服务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3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8</w:t>
                  </w:r>
                </w:p>
              </w:tc>
              <w:tc>
                <w:tcPr>
                  <w:tcW w:w="936" w:type="dxa"/>
                  <w:vMerge w:val="continue"/>
                  <w:vAlign w:val="center"/>
                </w:tcPr>
                <w:p>
                  <w:pPr>
                    <w:snapToGrid w:val="0"/>
                    <w:spacing w:line="320" w:lineRule="exact"/>
                    <w:jc w:val="center"/>
                    <w:rPr>
                      <w:rFonts w:hint="default" w:ascii="Times New Roman" w:hAnsi="Times New Roman" w:eastAsia="宋体" w:cs="Times New Roman"/>
                      <w:color w:val="000000"/>
                      <w:sz w:val="21"/>
                      <w:szCs w:val="21"/>
                    </w:rPr>
                  </w:pPr>
                </w:p>
              </w:tc>
              <w:tc>
                <w:tcPr>
                  <w:tcW w:w="200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妇科门诊室</w:t>
                  </w:r>
                </w:p>
              </w:tc>
              <w:tc>
                <w:tcPr>
                  <w:tcW w:w="1636"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9.87</w:t>
                  </w:r>
                </w:p>
              </w:tc>
              <w:tc>
                <w:tcPr>
                  <w:tcW w:w="1099"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1871" w:type="dxa"/>
                  <w:vMerge w:val="continue"/>
                  <w:vAlign w:val="center"/>
                </w:tcPr>
                <w:p>
                  <w:pPr>
                    <w:snapToGrid w:val="0"/>
                    <w:spacing w:line="320" w:lineRule="exact"/>
                    <w:jc w:val="center"/>
                    <w:rPr>
                      <w:rFonts w:hint="default" w:ascii="Times New Roman" w:hAnsi="Times New Roman" w:eastAsia="宋体"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3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9</w:t>
                  </w:r>
                </w:p>
              </w:tc>
              <w:tc>
                <w:tcPr>
                  <w:tcW w:w="936" w:type="dxa"/>
                  <w:vMerge w:val="continue"/>
                  <w:vAlign w:val="center"/>
                </w:tcPr>
                <w:p>
                  <w:pPr>
                    <w:snapToGrid w:val="0"/>
                    <w:spacing w:line="320" w:lineRule="exact"/>
                    <w:jc w:val="center"/>
                    <w:rPr>
                      <w:rFonts w:hint="default" w:ascii="Times New Roman" w:hAnsi="Times New Roman" w:eastAsia="宋体" w:cs="Times New Roman"/>
                      <w:color w:val="000000"/>
                      <w:sz w:val="21"/>
                      <w:szCs w:val="21"/>
                    </w:rPr>
                  </w:pPr>
                </w:p>
              </w:tc>
              <w:tc>
                <w:tcPr>
                  <w:tcW w:w="200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妇科检查室</w:t>
                  </w:r>
                </w:p>
              </w:tc>
              <w:tc>
                <w:tcPr>
                  <w:tcW w:w="1636"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9.87</w:t>
                  </w:r>
                </w:p>
              </w:tc>
              <w:tc>
                <w:tcPr>
                  <w:tcW w:w="1099"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1871" w:type="dxa"/>
                  <w:vMerge w:val="continue"/>
                  <w:vAlign w:val="center"/>
                </w:tcPr>
                <w:p>
                  <w:pPr>
                    <w:snapToGrid w:val="0"/>
                    <w:spacing w:line="320" w:lineRule="exact"/>
                    <w:jc w:val="center"/>
                    <w:rPr>
                      <w:rFonts w:hint="default" w:ascii="Times New Roman" w:hAnsi="Times New Roman" w:eastAsia="宋体"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3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w:t>
                  </w:r>
                </w:p>
              </w:tc>
              <w:tc>
                <w:tcPr>
                  <w:tcW w:w="936" w:type="dxa"/>
                  <w:vMerge w:val="continue"/>
                  <w:vAlign w:val="center"/>
                </w:tcPr>
                <w:p>
                  <w:pPr>
                    <w:snapToGrid w:val="0"/>
                    <w:spacing w:line="320" w:lineRule="exact"/>
                    <w:jc w:val="center"/>
                    <w:rPr>
                      <w:rFonts w:hint="default" w:ascii="Times New Roman" w:hAnsi="Times New Roman" w:eastAsia="宋体" w:cs="Times New Roman"/>
                      <w:color w:val="000000"/>
                      <w:sz w:val="21"/>
                      <w:szCs w:val="21"/>
                    </w:rPr>
                  </w:pPr>
                </w:p>
              </w:tc>
              <w:tc>
                <w:tcPr>
                  <w:tcW w:w="200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B超室</w:t>
                  </w:r>
                </w:p>
              </w:tc>
              <w:tc>
                <w:tcPr>
                  <w:tcW w:w="1636"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13.83</w:t>
                  </w:r>
                </w:p>
              </w:tc>
              <w:tc>
                <w:tcPr>
                  <w:tcW w:w="1099"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1871" w:type="dxa"/>
                  <w:vMerge w:val="continue"/>
                  <w:vAlign w:val="center"/>
                </w:tcPr>
                <w:p>
                  <w:pPr>
                    <w:snapToGrid w:val="0"/>
                    <w:spacing w:line="320" w:lineRule="exact"/>
                    <w:jc w:val="center"/>
                    <w:rPr>
                      <w:rFonts w:hint="default" w:ascii="Times New Roman" w:hAnsi="Times New Roman" w:eastAsia="宋体"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3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11</w:t>
                  </w:r>
                </w:p>
              </w:tc>
              <w:tc>
                <w:tcPr>
                  <w:tcW w:w="936" w:type="dxa"/>
                  <w:vMerge w:val="continue"/>
                  <w:vAlign w:val="center"/>
                </w:tcPr>
                <w:p>
                  <w:pPr>
                    <w:snapToGrid w:val="0"/>
                    <w:spacing w:line="320" w:lineRule="exact"/>
                    <w:jc w:val="center"/>
                    <w:rPr>
                      <w:rFonts w:hint="default" w:ascii="Times New Roman" w:hAnsi="Times New Roman" w:eastAsia="宋体" w:cs="Times New Roman"/>
                      <w:color w:val="000000"/>
                      <w:sz w:val="21"/>
                      <w:szCs w:val="21"/>
                    </w:rPr>
                  </w:pPr>
                </w:p>
              </w:tc>
              <w:tc>
                <w:tcPr>
                  <w:tcW w:w="200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心电图室</w:t>
                  </w:r>
                </w:p>
              </w:tc>
              <w:tc>
                <w:tcPr>
                  <w:tcW w:w="1636"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r>
                    <w:rPr>
                      <w:rFonts w:hint="default" w:ascii="Times New Roman" w:hAnsi="Times New Roman" w:eastAsia="宋体" w:cs="Times New Roman"/>
                      <w:color w:val="000000"/>
                      <w:sz w:val="21"/>
                      <w:szCs w:val="21"/>
                      <w:lang w:val="en-US" w:eastAsia="zh-CN"/>
                    </w:rPr>
                    <w:t>3</w:t>
                  </w:r>
                  <w:r>
                    <w:rPr>
                      <w:rFonts w:hint="default" w:ascii="Times New Roman" w:hAnsi="Times New Roman" w:eastAsia="宋体" w:cs="Times New Roman"/>
                      <w:color w:val="000000"/>
                      <w:sz w:val="21"/>
                      <w:szCs w:val="21"/>
                    </w:rPr>
                    <w:t>.02</w:t>
                  </w:r>
                </w:p>
              </w:tc>
              <w:tc>
                <w:tcPr>
                  <w:tcW w:w="1099"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1871" w:type="dxa"/>
                  <w:vMerge w:val="continue"/>
                  <w:vAlign w:val="center"/>
                </w:tcPr>
                <w:p>
                  <w:pPr>
                    <w:snapToGrid w:val="0"/>
                    <w:spacing w:line="320" w:lineRule="exact"/>
                    <w:jc w:val="center"/>
                    <w:rPr>
                      <w:rFonts w:hint="default" w:ascii="Times New Roman" w:hAnsi="Times New Roman" w:eastAsia="宋体"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3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12</w:t>
                  </w:r>
                </w:p>
              </w:tc>
              <w:tc>
                <w:tcPr>
                  <w:tcW w:w="936" w:type="dxa"/>
                  <w:vMerge w:val="continue"/>
                  <w:vAlign w:val="center"/>
                </w:tcPr>
                <w:p>
                  <w:pPr>
                    <w:snapToGrid w:val="0"/>
                    <w:spacing w:line="320" w:lineRule="exact"/>
                    <w:jc w:val="center"/>
                    <w:rPr>
                      <w:rFonts w:hint="default" w:ascii="Times New Roman" w:hAnsi="Times New Roman" w:eastAsia="宋体" w:cs="Times New Roman"/>
                      <w:color w:val="000000"/>
                      <w:sz w:val="21"/>
                      <w:szCs w:val="21"/>
                    </w:rPr>
                  </w:pPr>
                </w:p>
              </w:tc>
              <w:tc>
                <w:tcPr>
                  <w:tcW w:w="200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检验</w:t>
                  </w:r>
                  <w:r>
                    <w:rPr>
                      <w:rFonts w:hint="default" w:ascii="Times New Roman" w:hAnsi="Times New Roman" w:eastAsia="宋体" w:cs="Times New Roman"/>
                      <w:color w:val="000000"/>
                      <w:sz w:val="21"/>
                      <w:szCs w:val="21"/>
                    </w:rPr>
                    <w:t>室</w:t>
                  </w:r>
                </w:p>
              </w:tc>
              <w:tc>
                <w:tcPr>
                  <w:tcW w:w="1636"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22.04</w:t>
                  </w:r>
                </w:p>
              </w:tc>
              <w:tc>
                <w:tcPr>
                  <w:tcW w:w="1099"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w:t>
                  </w:r>
                </w:p>
              </w:tc>
              <w:tc>
                <w:tcPr>
                  <w:tcW w:w="1871" w:type="dxa"/>
                  <w:vMerge w:val="continue"/>
                  <w:vAlign w:val="center"/>
                </w:tcPr>
                <w:p>
                  <w:pPr>
                    <w:snapToGrid w:val="0"/>
                    <w:spacing w:line="320" w:lineRule="exact"/>
                    <w:jc w:val="center"/>
                    <w:rPr>
                      <w:rFonts w:hint="default" w:ascii="Times New Roman" w:hAnsi="Times New Roman" w:eastAsia="宋体"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3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13</w:t>
                  </w:r>
                </w:p>
              </w:tc>
              <w:tc>
                <w:tcPr>
                  <w:tcW w:w="936" w:type="dxa"/>
                  <w:vMerge w:val="continue"/>
                  <w:vAlign w:val="center"/>
                </w:tcPr>
                <w:p>
                  <w:pPr>
                    <w:snapToGrid w:val="0"/>
                    <w:spacing w:line="320" w:lineRule="exact"/>
                    <w:jc w:val="center"/>
                    <w:rPr>
                      <w:rFonts w:hint="default" w:ascii="Times New Roman" w:hAnsi="Times New Roman" w:eastAsia="宋体" w:cs="Times New Roman"/>
                      <w:color w:val="000000"/>
                      <w:sz w:val="21"/>
                      <w:szCs w:val="21"/>
                    </w:rPr>
                  </w:pPr>
                </w:p>
              </w:tc>
              <w:tc>
                <w:tcPr>
                  <w:tcW w:w="200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牙片室</w:t>
                  </w:r>
                </w:p>
              </w:tc>
              <w:tc>
                <w:tcPr>
                  <w:tcW w:w="1636"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6.87</w:t>
                  </w:r>
                </w:p>
              </w:tc>
              <w:tc>
                <w:tcPr>
                  <w:tcW w:w="1099"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1871" w:type="dxa"/>
                  <w:vMerge w:val="continue"/>
                  <w:vAlign w:val="center"/>
                </w:tcPr>
                <w:p>
                  <w:pPr>
                    <w:snapToGrid w:val="0"/>
                    <w:spacing w:line="320" w:lineRule="exact"/>
                    <w:jc w:val="center"/>
                    <w:rPr>
                      <w:rFonts w:hint="default" w:ascii="Times New Roman" w:hAnsi="Times New Roman" w:eastAsia="宋体"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3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14</w:t>
                  </w:r>
                </w:p>
              </w:tc>
              <w:tc>
                <w:tcPr>
                  <w:tcW w:w="936" w:type="dxa"/>
                  <w:vMerge w:val="continue"/>
                  <w:vAlign w:val="center"/>
                </w:tcPr>
                <w:p>
                  <w:pPr>
                    <w:snapToGrid w:val="0"/>
                    <w:spacing w:line="320" w:lineRule="exact"/>
                    <w:jc w:val="center"/>
                    <w:rPr>
                      <w:rFonts w:hint="default" w:ascii="Times New Roman" w:hAnsi="Times New Roman" w:eastAsia="宋体" w:cs="Times New Roman"/>
                      <w:color w:val="000000"/>
                      <w:sz w:val="21"/>
                      <w:szCs w:val="21"/>
                    </w:rPr>
                  </w:pPr>
                </w:p>
              </w:tc>
              <w:tc>
                <w:tcPr>
                  <w:tcW w:w="200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一号肿内室</w:t>
                  </w:r>
                </w:p>
              </w:tc>
              <w:tc>
                <w:tcPr>
                  <w:tcW w:w="1636"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11.07</w:t>
                  </w:r>
                </w:p>
              </w:tc>
              <w:tc>
                <w:tcPr>
                  <w:tcW w:w="1099"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1871" w:type="dxa"/>
                  <w:vMerge w:val="continue"/>
                  <w:vAlign w:val="center"/>
                </w:tcPr>
                <w:p>
                  <w:pPr>
                    <w:snapToGrid w:val="0"/>
                    <w:spacing w:line="320" w:lineRule="exact"/>
                    <w:jc w:val="center"/>
                    <w:rPr>
                      <w:rFonts w:hint="default" w:ascii="Times New Roman" w:hAnsi="Times New Roman" w:eastAsia="宋体"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3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15</w:t>
                  </w:r>
                </w:p>
              </w:tc>
              <w:tc>
                <w:tcPr>
                  <w:tcW w:w="936" w:type="dxa"/>
                  <w:vMerge w:val="continue"/>
                  <w:vAlign w:val="center"/>
                </w:tcPr>
                <w:p>
                  <w:pPr>
                    <w:snapToGrid w:val="0"/>
                    <w:spacing w:line="320" w:lineRule="exact"/>
                    <w:jc w:val="center"/>
                    <w:rPr>
                      <w:rFonts w:hint="default" w:ascii="Times New Roman" w:hAnsi="Times New Roman" w:eastAsia="宋体" w:cs="Times New Roman"/>
                      <w:color w:val="000000"/>
                      <w:sz w:val="21"/>
                      <w:szCs w:val="21"/>
                    </w:rPr>
                  </w:pPr>
                </w:p>
              </w:tc>
              <w:tc>
                <w:tcPr>
                  <w:tcW w:w="200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二号肿内室</w:t>
                  </w:r>
                </w:p>
              </w:tc>
              <w:tc>
                <w:tcPr>
                  <w:tcW w:w="1636"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12.69</w:t>
                  </w:r>
                </w:p>
              </w:tc>
              <w:tc>
                <w:tcPr>
                  <w:tcW w:w="1099"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1871" w:type="dxa"/>
                  <w:vMerge w:val="continue"/>
                  <w:vAlign w:val="center"/>
                </w:tcPr>
                <w:p>
                  <w:pPr>
                    <w:snapToGrid w:val="0"/>
                    <w:spacing w:line="320" w:lineRule="exact"/>
                    <w:jc w:val="center"/>
                    <w:rPr>
                      <w:rFonts w:hint="default" w:ascii="Times New Roman" w:hAnsi="Times New Roman" w:eastAsia="宋体"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3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16</w:t>
                  </w:r>
                </w:p>
              </w:tc>
              <w:tc>
                <w:tcPr>
                  <w:tcW w:w="936" w:type="dxa"/>
                  <w:vMerge w:val="continue"/>
                  <w:vAlign w:val="center"/>
                </w:tcPr>
                <w:p>
                  <w:pPr>
                    <w:snapToGrid w:val="0"/>
                    <w:spacing w:line="320" w:lineRule="exact"/>
                    <w:jc w:val="center"/>
                    <w:rPr>
                      <w:rFonts w:hint="default" w:ascii="Times New Roman" w:hAnsi="Times New Roman" w:eastAsia="宋体" w:cs="Times New Roman"/>
                      <w:color w:val="000000"/>
                      <w:sz w:val="21"/>
                      <w:szCs w:val="21"/>
                    </w:rPr>
                  </w:pPr>
                </w:p>
              </w:tc>
              <w:tc>
                <w:tcPr>
                  <w:tcW w:w="200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口腔室</w:t>
                  </w:r>
                </w:p>
              </w:tc>
              <w:tc>
                <w:tcPr>
                  <w:tcW w:w="1636"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12.24</w:t>
                  </w:r>
                </w:p>
              </w:tc>
              <w:tc>
                <w:tcPr>
                  <w:tcW w:w="1099"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1871" w:type="dxa"/>
                  <w:vMerge w:val="continue"/>
                  <w:vAlign w:val="center"/>
                </w:tcPr>
                <w:p>
                  <w:pPr>
                    <w:snapToGrid w:val="0"/>
                    <w:spacing w:line="320" w:lineRule="exact"/>
                    <w:jc w:val="center"/>
                    <w:rPr>
                      <w:rFonts w:hint="default" w:ascii="Times New Roman" w:hAnsi="Times New Roman" w:eastAsia="宋体"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3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17</w:t>
                  </w:r>
                </w:p>
              </w:tc>
              <w:tc>
                <w:tcPr>
                  <w:tcW w:w="936" w:type="dxa"/>
                  <w:vMerge w:val="continue"/>
                  <w:vAlign w:val="center"/>
                </w:tcPr>
                <w:p>
                  <w:pPr>
                    <w:snapToGrid w:val="0"/>
                    <w:spacing w:line="320" w:lineRule="exact"/>
                    <w:jc w:val="center"/>
                    <w:rPr>
                      <w:rFonts w:hint="default" w:ascii="Times New Roman" w:hAnsi="Times New Roman" w:eastAsia="宋体" w:cs="Times New Roman"/>
                      <w:color w:val="000000"/>
                      <w:sz w:val="21"/>
                      <w:szCs w:val="21"/>
                    </w:rPr>
                  </w:pPr>
                </w:p>
              </w:tc>
              <w:tc>
                <w:tcPr>
                  <w:tcW w:w="200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一号计划生育室</w:t>
                  </w:r>
                </w:p>
              </w:tc>
              <w:tc>
                <w:tcPr>
                  <w:tcW w:w="1636"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10.25</w:t>
                  </w:r>
                </w:p>
              </w:tc>
              <w:tc>
                <w:tcPr>
                  <w:tcW w:w="1099"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1871" w:type="dxa"/>
                  <w:vMerge w:val="continue"/>
                  <w:vAlign w:val="center"/>
                </w:tcPr>
                <w:p>
                  <w:pPr>
                    <w:snapToGrid w:val="0"/>
                    <w:spacing w:line="320" w:lineRule="exact"/>
                    <w:jc w:val="center"/>
                    <w:rPr>
                      <w:rFonts w:hint="default" w:ascii="Times New Roman" w:hAnsi="Times New Roman" w:eastAsia="宋体"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3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18</w:t>
                  </w:r>
                </w:p>
              </w:tc>
              <w:tc>
                <w:tcPr>
                  <w:tcW w:w="936" w:type="dxa"/>
                  <w:vMerge w:val="continue"/>
                  <w:vAlign w:val="center"/>
                </w:tcPr>
                <w:p>
                  <w:pPr>
                    <w:snapToGrid w:val="0"/>
                    <w:spacing w:line="320" w:lineRule="exact"/>
                    <w:jc w:val="center"/>
                    <w:rPr>
                      <w:rFonts w:hint="default" w:ascii="Times New Roman" w:hAnsi="Times New Roman" w:eastAsia="宋体" w:cs="Times New Roman"/>
                      <w:color w:val="000000"/>
                      <w:sz w:val="21"/>
                      <w:szCs w:val="21"/>
                    </w:rPr>
                  </w:pPr>
                </w:p>
              </w:tc>
              <w:tc>
                <w:tcPr>
                  <w:tcW w:w="200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二号计划生育室</w:t>
                  </w:r>
                </w:p>
              </w:tc>
              <w:tc>
                <w:tcPr>
                  <w:tcW w:w="1636"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10</w:t>
                  </w:r>
                  <w:r>
                    <w:rPr>
                      <w:rFonts w:hint="default" w:ascii="Times New Roman" w:hAnsi="Times New Roman" w:eastAsia="宋体" w:cs="Times New Roman"/>
                      <w:color w:val="000000"/>
                      <w:sz w:val="21"/>
                      <w:szCs w:val="21"/>
                    </w:rPr>
                    <w:t>.02</w:t>
                  </w:r>
                </w:p>
              </w:tc>
              <w:tc>
                <w:tcPr>
                  <w:tcW w:w="1099"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1871" w:type="dxa"/>
                  <w:vMerge w:val="continue"/>
                  <w:vAlign w:val="center"/>
                </w:tcPr>
                <w:p>
                  <w:pPr>
                    <w:snapToGrid w:val="0"/>
                    <w:spacing w:line="320" w:lineRule="exact"/>
                    <w:jc w:val="center"/>
                    <w:rPr>
                      <w:rFonts w:hint="default" w:ascii="Times New Roman" w:hAnsi="Times New Roman" w:eastAsia="宋体"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3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19</w:t>
                  </w:r>
                </w:p>
              </w:tc>
              <w:tc>
                <w:tcPr>
                  <w:tcW w:w="936" w:type="dxa"/>
                  <w:vMerge w:val="continue"/>
                  <w:vAlign w:val="center"/>
                </w:tcPr>
                <w:p>
                  <w:pPr>
                    <w:snapToGrid w:val="0"/>
                    <w:spacing w:line="320" w:lineRule="exact"/>
                    <w:jc w:val="center"/>
                    <w:rPr>
                      <w:rFonts w:hint="default" w:ascii="Times New Roman" w:hAnsi="Times New Roman" w:eastAsia="宋体" w:cs="Times New Roman"/>
                      <w:color w:val="000000"/>
                      <w:sz w:val="21"/>
                      <w:szCs w:val="21"/>
                    </w:rPr>
                  </w:pPr>
                </w:p>
              </w:tc>
              <w:tc>
                <w:tcPr>
                  <w:tcW w:w="200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一号外科诊室</w:t>
                  </w:r>
                </w:p>
              </w:tc>
              <w:tc>
                <w:tcPr>
                  <w:tcW w:w="1636"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8.95</w:t>
                  </w:r>
                </w:p>
              </w:tc>
              <w:tc>
                <w:tcPr>
                  <w:tcW w:w="1099"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1871" w:type="dxa"/>
                  <w:vMerge w:val="continue"/>
                  <w:vAlign w:val="center"/>
                </w:tcPr>
                <w:p>
                  <w:pPr>
                    <w:snapToGrid w:val="0"/>
                    <w:spacing w:line="320" w:lineRule="exact"/>
                    <w:jc w:val="center"/>
                    <w:rPr>
                      <w:rFonts w:hint="default" w:ascii="Times New Roman" w:hAnsi="Times New Roman" w:eastAsia="宋体"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3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20</w:t>
                  </w:r>
                </w:p>
              </w:tc>
              <w:tc>
                <w:tcPr>
                  <w:tcW w:w="936" w:type="dxa"/>
                  <w:vMerge w:val="continue"/>
                  <w:vAlign w:val="center"/>
                </w:tcPr>
                <w:p>
                  <w:pPr>
                    <w:snapToGrid w:val="0"/>
                    <w:spacing w:line="320" w:lineRule="exact"/>
                    <w:jc w:val="center"/>
                    <w:rPr>
                      <w:rFonts w:hint="default" w:ascii="Times New Roman" w:hAnsi="Times New Roman" w:eastAsia="宋体" w:cs="Times New Roman"/>
                      <w:color w:val="000000"/>
                      <w:sz w:val="21"/>
                      <w:szCs w:val="21"/>
                    </w:rPr>
                  </w:pPr>
                </w:p>
              </w:tc>
              <w:tc>
                <w:tcPr>
                  <w:tcW w:w="200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二号外科诊室</w:t>
                  </w:r>
                </w:p>
              </w:tc>
              <w:tc>
                <w:tcPr>
                  <w:tcW w:w="1636"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9.12</w:t>
                  </w:r>
                </w:p>
              </w:tc>
              <w:tc>
                <w:tcPr>
                  <w:tcW w:w="1099"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1871" w:type="dxa"/>
                  <w:vMerge w:val="continue"/>
                  <w:vAlign w:val="center"/>
                </w:tcPr>
                <w:p>
                  <w:pPr>
                    <w:snapToGrid w:val="0"/>
                    <w:spacing w:line="320" w:lineRule="exact"/>
                    <w:jc w:val="center"/>
                    <w:rPr>
                      <w:rFonts w:hint="default" w:ascii="Times New Roman" w:hAnsi="Times New Roman" w:eastAsia="宋体"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3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21</w:t>
                  </w:r>
                </w:p>
              </w:tc>
              <w:tc>
                <w:tcPr>
                  <w:tcW w:w="936" w:type="dxa"/>
                  <w:vMerge w:val="continue"/>
                  <w:vAlign w:val="center"/>
                </w:tcPr>
                <w:p>
                  <w:pPr>
                    <w:snapToGrid w:val="0"/>
                    <w:spacing w:line="320" w:lineRule="exact"/>
                    <w:jc w:val="center"/>
                    <w:rPr>
                      <w:rFonts w:hint="default" w:ascii="Times New Roman" w:hAnsi="Times New Roman" w:eastAsia="宋体" w:cs="Times New Roman"/>
                      <w:color w:val="000000"/>
                      <w:sz w:val="21"/>
                      <w:szCs w:val="21"/>
                    </w:rPr>
                  </w:pPr>
                </w:p>
              </w:tc>
              <w:tc>
                <w:tcPr>
                  <w:tcW w:w="200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一号内科诊室</w:t>
                  </w:r>
                </w:p>
              </w:tc>
              <w:tc>
                <w:tcPr>
                  <w:tcW w:w="1636"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8.97</w:t>
                  </w:r>
                </w:p>
              </w:tc>
              <w:tc>
                <w:tcPr>
                  <w:tcW w:w="1099"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1871" w:type="dxa"/>
                  <w:vMerge w:val="continue"/>
                  <w:vAlign w:val="center"/>
                </w:tcPr>
                <w:p>
                  <w:pPr>
                    <w:snapToGrid w:val="0"/>
                    <w:spacing w:line="320" w:lineRule="exact"/>
                    <w:jc w:val="center"/>
                    <w:rPr>
                      <w:rFonts w:hint="default" w:ascii="Times New Roman" w:hAnsi="Times New Roman" w:eastAsia="宋体"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3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22</w:t>
                  </w:r>
                </w:p>
              </w:tc>
              <w:tc>
                <w:tcPr>
                  <w:tcW w:w="936" w:type="dxa"/>
                  <w:vMerge w:val="continue"/>
                  <w:vAlign w:val="center"/>
                </w:tcPr>
                <w:p>
                  <w:pPr>
                    <w:snapToGrid w:val="0"/>
                    <w:spacing w:line="320" w:lineRule="exact"/>
                    <w:jc w:val="center"/>
                    <w:rPr>
                      <w:rFonts w:hint="default" w:ascii="Times New Roman" w:hAnsi="Times New Roman" w:eastAsia="宋体" w:cs="Times New Roman"/>
                      <w:color w:val="000000"/>
                      <w:sz w:val="21"/>
                      <w:szCs w:val="21"/>
                    </w:rPr>
                  </w:pPr>
                </w:p>
              </w:tc>
              <w:tc>
                <w:tcPr>
                  <w:tcW w:w="200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二号内科诊室</w:t>
                  </w:r>
                </w:p>
              </w:tc>
              <w:tc>
                <w:tcPr>
                  <w:tcW w:w="1636"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12.21</w:t>
                  </w:r>
                </w:p>
              </w:tc>
              <w:tc>
                <w:tcPr>
                  <w:tcW w:w="1099"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1871" w:type="dxa"/>
                  <w:vMerge w:val="continue"/>
                  <w:vAlign w:val="center"/>
                </w:tcPr>
                <w:p>
                  <w:pPr>
                    <w:snapToGrid w:val="0"/>
                    <w:spacing w:line="320" w:lineRule="exact"/>
                    <w:jc w:val="center"/>
                    <w:rPr>
                      <w:rFonts w:hint="default" w:ascii="Times New Roman" w:hAnsi="Times New Roman" w:eastAsia="宋体"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3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23</w:t>
                  </w:r>
                </w:p>
              </w:tc>
              <w:tc>
                <w:tcPr>
                  <w:tcW w:w="936" w:type="dxa"/>
                  <w:vMerge w:val="continue"/>
                  <w:vAlign w:val="center"/>
                </w:tcPr>
                <w:p>
                  <w:pPr>
                    <w:snapToGrid w:val="0"/>
                    <w:spacing w:line="320" w:lineRule="exact"/>
                    <w:jc w:val="center"/>
                    <w:rPr>
                      <w:rFonts w:hint="default" w:ascii="Times New Roman" w:hAnsi="Times New Roman" w:eastAsia="宋体" w:cs="Times New Roman"/>
                      <w:color w:val="000000"/>
                      <w:sz w:val="21"/>
                      <w:szCs w:val="21"/>
                    </w:rPr>
                  </w:pPr>
                </w:p>
              </w:tc>
              <w:tc>
                <w:tcPr>
                  <w:tcW w:w="200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医生办公室</w:t>
                  </w:r>
                </w:p>
              </w:tc>
              <w:tc>
                <w:tcPr>
                  <w:tcW w:w="1636"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14.85</w:t>
                  </w:r>
                </w:p>
              </w:tc>
              <w:tc>
                <w:tcPr>
                  <w:tcW w:w="1099"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187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办公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3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24</w:t>
                  </w:r>
                </w:p>
              </w:tc>
              <w:tc>
                <w:tcPr>
                  <w:tcW w:w="936" w:type="dxa"/>
                  <w:vMerge w:val="continue"/>
                  <w:vAlign w:val="center"/>
                </w:tcPr>
                <w:p>
                  <w:pPr>
                    <w:snapToGrid w:val="0"/>
                    <w:spacing w:line="320" w:lineRule="exact"/>
                    <w:jc w:val="center"/>
                    <w:rPr>
                      <w:rFonts w:hint="default" w:ascii="Times New Roman" w:hAnsi="Times New Roman" w:eastAsia="宋体" w:cs="Times New Roman"/>
                      <w:color w:val="000000"/>
                      <w:sz w:val="21"/>
                      <w:szCs w:val="21"/>
                    </w:rPr>
                  </w:pPr>
                </w:p>
              </w:tc>
              <w:tc>
                <w:tcPr>
                  <w:tcW w:w="200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库房</w:t>
                  </w:r>
                </w:p>
              </w:tc>
              <w:tc>
                <w:tcPr>
                  <w:tcW w:w="1636"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16.55</w:t>
                  </w:r>
                </w:p>
              </w:tc>
              <w:tc>
                <w:tcPr>
                  <w:tcW w:w="1099"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187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3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25</w:t>
                  </w:r>
                </w:p>
              </w:tc>
              <w:tc>
                <w:tcPr>
                  <w:tcW w:w="936" w:type="dxa"/>
                  <w:vMerge w:val="continue"/>
                  <w:vAlign w:val="center"/>
                </w:tcPr>
                <w:p>
                  <w:pPr>
                    <w:snapToGrid w:val="0"/>
                    <w:spacing w:line="320" w:lineRule="exact"/>
                    <w:jc w:val="center"/>
                    <w:rPr>
                      <w:rFonts w:hint="default" w:ascii="Times New Roman" w:hAnsi="Times New Roman" w:eastAsia="宋体" w:cs="Times New Roman"/>
                      <w:color w:val="000000"/>
                      <w:sz w:val="21"/>
                      <w:szCs w:val="21"/>
                    </w:rPr>
                  </w:pPr>
                </w:p>
              </w:tc>
              <w:tc>
                <w:tcPr>
                  <w:tcW w:w="200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卫生间</w:t>
                  </w:r>
                </w:p>
              </w:tc>
              <w:tc>
                <w:tcPr>
                  <w:tcW w:w="1636"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16.23</w:t>
                  </w:r>
                </w:p>
              </w:tc>
              <w:tc>
                <w:tcPr>
                  <w:tcW w:w="1099"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187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3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26</w:t>
                  </w:r>
                </w:p>
              </w:tc>
              <w:tc>
                <w:tcPr>
                  <w:tcW w:w="936" w:type="dxa"/>
                  <w:vMerge w:val="continue"/>
                  <w:vAlign w:val="center"/>
                </w:tcPr>
                <w:p>
                  <w:pPr>
                    <w:snapToGrid w:val="0"/>
                    <w:spacing w:line="320" w:lineRule="exact"/>
                    <w:jc w:val="center"/>
                    <w:rPr>
                      <w:rFonts w:hint="default" w:ascii="Times New Roman" w:hAnsi="Times New Roman" w:eastAsia="宋体" w:cs="Times New Roman"/>
                      <w:color w:val="000000"/>
                      <w:sz w:val="21"/>
                      <w:szCs w:val="21"/>
                    </w:rPr>
                  </w:pPr>
                </w:p>
              </w:tc>
              <w:tc>
                <w:tcPr>
                  <w:tcW w:w="2001" w:type="dxa"/>
                  <w:vAlign w:val="center"/>
                </w:tcPr>
                <w:p>
                  <w:pPr>
                    <w:snapToGrid w:val="0"/>
                    <w:spacing w:line="32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val="en-US" w:eastAsia="zh-CN"/>
                    </w:rPr>
                    <w:t>排风机房</w:t>
                  </w:r>
                </w:p>
              </w:tc>
              <w:tc>
                <w:tcPr>
                  <w:tcW w:w="1636"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15.22</w:t>
                  </w:r>
                </w:p>
              </w:tc>
              <w:tc>
                <w:tcPr>
                  <w:tcW w:w="1099"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1871" w:type="dxa"/>
                  <w:vAlign w:val="center"/>
                </w:tcPr>
                <w:p>
                  <w:pPr>
                    <w:snapToGrid w:val="0"/>
                    <w:spacing w:line="32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3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27</w:t>
                  </w:r>
                </w:p>
              </w:tc>
              <w:tc>
                <w:tcPr>
                  <w:tcW w:w="936" w:type="dxa"/>
                  <w:vMerge w:val="continue"/>
                  <w:vAlign w:val="center"/>
                </w:tcPr>
                <w:p>
                  <w:pPr>
                    <w:snapToGrid w:val="0"/>
                    <w:spacing w:line="320" w:lineRule="exact"/>
                    <w:jc w:val="center"/>
                    <w:rPr>
                      <w:rFonts w:hint="default" w:ascii="Times New Roman" w:hAnsi="Times New Roman" w:eastAsia="宋体" w:cs="Times New Roman"/>
                      <w:color w:val="000000"/>
                      <w:sz w:val="21"/>
                      <w:szCs w:val="21"/>
                    </w:rPr>
                  </w:pPr>
                </w:p>
              </w:tc>
              <w:tc>
                <w:tcPr>
                  <w:tcW w:w="2001" w:type="dxa"/>
                  <w:vAlign w:val="center"/>
                </w:tcPr>
                <w:p>
                  <w:pPr>
                    <w:snapToGrid w:val="0"/>
                    <w:spacing w:line="32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医疗危废暂存间</w:t>
                  </w:r>
                </w:p>
              </w:tc>
              <w:tc>
                <w:tcPr>
                  <w:tcW w:w="1636" w:type="dxa"/>
                  <w:vAlign w:val="center"/>
                </w:tcPr>
                <w:p>
                  <w:pPr>
                    <w:snapToGrid w:val="0"/>
                    <w:spacing w:line="32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6.00</w:t>
                  </w:r>
                </w:p>
              </w:tc>
              <w:tc>
                <w:tcPr>
                  <w:tcW w:w="1099" w:type="dxa"/>
                  <w:vAlign w:val="center"/>
                </w:tcPr>
                <w:p>
                  <w:pPr>
                    <w:snapToGrid w:val="0"/>
                    <w:spacing w:line="32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w:t>
                  </w:r>
                </w:p>
              </w:tc>
              <w:tc>
                <w:tcPr>
                  <w:tcW w:w="187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医疗废物暂存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3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28</w:t>
                  </w:r>
                </w:p>
              </w:tc>
              <w:tc>
                <w:tcPr>
                  <w:tcW w:w="936" w:type="dxa"/>
                  <w:vMerge w:val="restart"/>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一层</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二层</w:t>
                  </w:r>
                </w:p>
              </w:tc>
              <w:tc>
                <w:tcPr>
                  <w:tcW w:w="200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走道</w:t>
                  </w:r>
                </w:p>
              </w:tc>
              <w:tc>
                <w:tcPr>
                  <w:tcW w:w="1636"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70</w:t>
                  </w:r>
                  <w:r>
                    <w:rPr>
                      <w:rFonts w:hint="default" w:ascii="Times New Roman" w:hAnsi="Times New Roman" w:eastAsia="宋体" w:cs="Times New Roman"/>
                      <w:color w:val="000000"/>
                      <w:sz w:val="21"/>
                      <w:szCs w:val="21"/>
                    </w:rPr>
                    <w:t>.9</w:t>
                  </w:r>
                  <w:r>
                    <w:rPr>
                      <w:rFonts w:hint="default" w:ascii="Times New Roman" w:hAnsi="Times New Roman" w:eastAsia="宋体" w:cs="Times New Roman"/>
                      <w:color w:val="000000"/>
                      <w:sz w:val="21"/>
                      <w:szCs w:val="21"/>
                      <w:lang w:val="en-US" w:eastAsia="zh-CN"/>
                    </w:rPr>
                    <w:t>7</w:t>
                  </w:r>
                </w:p>
              </w:tc>
              <w:tc>
                <w:tcPr>
                  <w:tcW w:w="1099"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187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3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29</w:t>
                  </w:r>
                </w:p>
              </w:tc>
              <w:tc>
                <w:tcPr>
                  <w:tcW w:w="936" w:type="dxa"/>
                  <w:vMerge w:val="continue"/>
                  <w:vAlign w:val="center"/>
                </w:tcPr>
                <w:p>
                  <w:pPr>
                    <w:snapToGrid w:val="0"/>
                    <w:spacing w:line="320" w:lineRule="exact"/>
                    <w:jc w:val="center"/>
                    <w:rPr>
                      <w:rFonts w:hint="default" w:ascii="Times New Roman" w:hAnsi="Times New Roman" w:eastAsia="宋体" w:cs="Times New Roman"/>
                      <w:color w:val="000000"/>
                      <w:sz w:val="21"/>
                      <w:szCs w:val="21"/>
                    </w:rPr>
                  </w:pPr>
                </w:p>
              </w:tc>
              <w:tc>
                <w:tcPr>
                  <w:tcW w:w="200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电梯井</w:t>
                  </w:r>
                </w:p>
              </w:tc>
              <w:tc>
                <w:tcPr>
                  <w:tcW w:w="1636"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12.05</w:t>
                  </w:r>
                </w:p>
              </w:tc>
              <w:tc>
                <w:tcPr>
                  <w:tcW w:w="1099"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187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1131" w:type="dxa"/>
                  <w:vAlign w:val="center"/>
                </w:tcPr>
                <w:p>
                  <w:pPr>
                    <w:snapToGrid w:val="0"/>
                    <w:spacing w:line="32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30</w:t>
                  </w:r>
                </w:p>
              </w:tc>
              <w:tc>
                <w:tcPr>
                  <w:tcW w:w="2937" w:type="dxa"/>
                  <w:gridSpan w:val="2"/>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合计</w:t>
                  </w:r>
                </w:p>
              </w:tc>
              <w:tc>
                <w:tcPr>
                  <w:tcW w:w="1636"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754</w:t>
                  </w:r>
                </w:p>
              </w:tc>
              <w:tc>
                <w:tcPr>
                  <w:tcW w:w="1099"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w:t>
                  </w:r>
                </w:p>
              </w:tc>
              <w:tc>
                <w:tcPr>
                  <w:tcW w:w="1871" w:type="dxa"/>
                  <w:vAlign w:val="center"/>
                </w:tcPr>
                <w:p>
                  <w:pPr>
                    <w:snapToGrid w:val="0"/>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w:t>
                  </w:r>
                </w:p>
              </w:tc>
            </w:tr>
          </w:tbl>
          <w:p>
            <w:pPr>
              <w:widowControl w:val="0"/>
              <w:spacing w:before="48" w:beforeLines="20" w:line="360" w:lineRule="auto"/>
              <w:jc w:val="both"/>
              <w:rPr>
                <w:rFonts w:hint="default" w:ascii="Times New Roman" w:hAnsi="Times New Roman" w:eastAsia="宋体" w:cs="Times New Roman"/>
                <w:color w:val="000000"/>
                <w:sz w:val="21"/>
                <w:szCs w:val="21"/>
                <w:lang w:val="en-US" w:eastAsia="zh-CN"/>
              </w:rPr>
            </w:pPr>
          </w:p>
          <w:p>
            <w:pPr>
              <w:widowControl w:val="0"/>
              <w:spacing w:before="48" w:beforeLines="20" w:line="360" w:lineRule="auto"/>
              <w:jc w:val="both"/>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rPr>
              <w:drawing>
                <wp:inline distT="0" distB="0" distL="114300" distR="114300">
                  <wp:extent cx="5508625" cy="3789045"/>
                  <wp:effectExtent l="0" t="0" r="15875" b="190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6"/>
                          <a:stretch>
                            <a:fillRect/>
                          </a:stretch>
                        </pic:blipFill>
                        <pic:spPr>
                          <a:xfrm>
                            <a:off x="0" y="0"/>
                            <a:ext cx="5508625" cy="378904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63" w:beforeLines="20" w:after="0" w:line="288" w:lineRule="auto"/>
              <w:ind w:firstLine="3150" w:firstLineChars="1500"/>
              <w:jc w:val="left"/>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图2-1  服务站一层平面图</w:t>
            </w:r>
          </w:p>
          <w:p>
            <w:pPr>
              <w:widowControl w:val="0"/>
              <w:spacing w:before="48" w:beforeLines="20" w:line="360" w:lineRule="auto"/>
              <w:jc w:val="both"/>
              <w:rPr>
                <w:rFonts w:hint="default" w:ascii="Times New Roman" w:hAnsi="Times New Roman" w:eastAsia="宋体" w:cs="Times New Roman"/>
                <w:color w:val="000000"/>
                <w:sz w:val="21"/>
                <w:szCs w:val="21"/>
                <w:lang w:val="en-US" w:eastAsia="zh-CN"/>
              </w:rPr>
            </w:pPr>
          </w:p>
          <w:p>
            <w:pPr>
              <w:widowControl w:val="0"/>
              <w:spacing w:before="48" w:beforeLines="20" w:line="360" w:lineRule="auto"/>
              <w:jc w:val="both"/>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rPr>
              <w:drawing>
                <wp:inline distT="0" distB="0" distL="114300" distR="114300">
                  <wp:extent cx="5510530" cy="3576955"/>
                  <wp:effectExtent l="0" t="0" r="13970" b="4445"/>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7"/>
                          <a:stretch>
                            <a:fillRect/>
                          </a:stretch>
                        </pic:blipFill>
                        <pic:spPr>
                          <a:xfrm>
                            <a:off x="0" y="0"/>
                            <a:ext cx="5510530" cy="35769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63" w:beforeLines="20" w:after="0" w:line="288" w:lineRule="auto"/>
              <w:ind w:firstLine="3150" w:firstLineChars="1500"/>
              <w:jc w:val="left"/>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图2-2  服务站二层平面图</w:t>
            </w:r>
          </w:p>
          <w:p>
            <w:pPr>
              <w:widowControl w:val="0"/>
              <w:ind w:firstLine="210" w:firstLineChars="100"/>
              <w:jc w:val="both"/>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w:t>
            </w:r>
            <w:r>
              <w:rPr>
                <w:rFonts w:hint="default" w:ascii="Times New Roman" w:hAnsi="Times New Roman" w:eastAsia="宋体" w:cs="Times New Roman"/>
                <w:color w:val="000000"/>
                <w:sz w:val="21"/>
                <w:szCs w:val="21"/>
                <w:lang w:val="en-US" w:eastAsia="zh-CN"/>
              </w:rPr>
              <w:t>项目实际建设内容</w:t>
            </w:r>
          </w:p>
          <w:p>
            <w:pPr>
              <w:widowControl w:val="0"/>
              <w:ind w:firstLine="210" w:firstLineChars="100"/>
              <w:jc w:val="both"/>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eastAsia="zh-CN"/>
              </w:rPr>
              <w:t>本项目实际建设内容包括药房、大厅、B超室、心电图室、检查室、肌注治疗室、计划生育室、牙片室、内科诊室、外科诊室、妇科门诊室、医疗固废暂存间、办公室和库房等，</w:t>
            </w:r>
            <w:r>
              <w:rPr>
                <w:rFonts w:hint="default" w:ascii="Times New Roman" w:hAnsi="Times New Roman" w:eastAsia="宋体" w:cs="Times New Roman"/>
                <w:color w:val="000000"/>
                <w:sz w:val="21"/>
                <w:szCs w:val="21"/>
                <w:lang w:val="en-US" w:eastAsia="zh-CN"/>
              </w:rPr>
              <w:t>不设</w:t>
            </w:r>
            <w:r>
              <w:rPr>
                <w:rFonts w:hint="default" w:ascii="Times New Roman" w:hAnsi="Times New Roman" w:eastAsia="宋体" w:cs="Times New Roman"/>
                <w:color w:val="000000"/>
                <w:sz w:val="21"/>
                <w:szCs w:val="21"/>
                <w:lang w:eastAsia="zh-CN"/>
              </w:rPr>
              <w:t>食堂、宿舍</w:t>
            </w:r>
            <w:r>
              <w:rPr>
                <w:rFonts w:hint="default" w:ascii="Times New Roman" w:hAnsi="Times New Roman" w:eastAsia="宋体" w:cs="Times New Roman"/>
                <w:color w:val="000000"/>
                <w:sz w:val="21"/>
                <w:szCs w:val="21"/>
                <w:lang w:val="en-US" w:eastAsia="zh-CN"/>
              </w:rPr>
              <w:t>及浴室。实际建设平面布置及建设内容</w:t>
            </w:r>
            <w:r>
              <w:rPr>
                <w:rFonts w:hint="eastAsia" w:ascii="Times New Roman" w:hAnsi="Times New Roman" w:eastAsia="宋体" w:cs="Times New Roman"/>
                <w:color w:val="000000"/>
                <w:sz w:val="21"/>
                <w:szCs w:val="21"/>
                <w:lang w:val="en-US" w:eastAsia="zh-CN"/>
              </w:rPr>
              <w:t>与</w:t>
            </w:r>
            <w:r>
              <w:rPr>
                <w:rFonts w:hint="default" w:ascii="Times New Roman" w:hAnsi="Times New Roman" w:eastAsia="宋体" w:cs="Times New Roman"/>
                <w:color w:val="000000"/>
                <w:sz w:val="21"/>
                <w:szCs w:val="21"/>
                <w:lang w:val="en-US" w:eastAsia="zh-CN"/>
              </w:rPr>
              <w:t>环评批复阶段一致，实际建设内容详</w:t>
            </w:r>
            <w:r>
              <w:rPr>
                <w:rFonts w:hint="default" w:ascii="Times New Roman" w:hAnsi="Times New Roman" w:eastAsia="宋体" w:cs="Times New Roman"/>
                <w:color w:val="000000"/>
                <w:sz w:val="21"/>
                <w:szCs w:val="21"/>
                <w:lang w:eastAsia="zh-CN"/>
              </w:rPr>
              <w:t>见表</w:t>
            </w:r>
            <w:r>
              <w:rPr>
                <w:rFonts w:hint="default" w:ascii="Times New Roman" w:hAnsi="Times New Roman" w:eastAsia="宋体" w:cs="Times New Roman"/>
                <w:color w:val="000000"/>
                <w:sz w:val="21"/>
                <w:szCs w:val="21"/>
                <w:lang w:val="en-US" w:eastAsia="zh-CN"/>
              </w:rPr>
              <w:t>2-2。</w:t>
            </w:r>
          </w:p>
          <w:p>
            <w:pPr>
              <w:keepNext w:val="0"/>
              <w:keepLines w:val="0"/>
              <w:pageBreakBefore w:val="0"/>
              <w:widowControl w:val="0"/>
              <w:kinsoku/>
              <w:wordWrap/>
              <w:overflowPunct/>
              <w:topLinePunct w:val="0"/>
              <w:autoSpaceDE/>
              <w:autoSpaceDN/>
              <w:bidi w:val="0"/>
              <w:adjustRightInd w:val="0"/>
              <w:snapToGrid w:val="0"/>
              <w:spacing w:before="63" w:beforeLines="20" w:after="0" w:line="288" w:lineRule="auto"/>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表2-2  项目实际建设内容组成及功能布局一览表</w:t>
            </w:r>
          </w:p>
          <w:tbl>
            <w:tblPr>
              <w:tblStyle w:val="9"/>
              <w:tblW w:w="86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627"/>
              <w:gridCol w:w="2753"/>
              <w:gridCol w:w="2058"/>
              <w:gridCol w:w="1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7"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工程类别</w:t>
                  </w: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单项工程名称</w:t>
                  </w:r>
                </w:p>
              </w:tc>
              <w:tc>
                <w:tcPr>
                  <w:tcW w:w="2753"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工程内容</w:t>
                  </w:r>
                </w:p>
              </w:tc>
              <w:tc>
                <w:tcPr>
                  <w:tcW w:w="2058" w:type="dxa"/>
                  <w:vAlign w:val="center"/>
                </w:tcPr>
                <w:p>
                  <w:pPr>
                    <w:keepNext w:val="0"/>
                    <w:keepLines w:val="0"/>
                    <w:pageBreakBefore w:val="0"/>
                    <w:widowControl w:val="0"/>
                    <w:kinsoku/>
                    <w:wordWrap/>
                    <w:overflowPunct/>
                    <w:topLinePunct w:val="0"/>
                    <w:autoSpaceDE/>
                    <w:autoSpaceDN/>
                    <w:bidi w:val="0"/>
                    <w:adjustRightInd w:val="0"/>
                    <w:snapToGrid w:val="0"/>
                    <w:spacing w:after="0"/>
                    <w:ind w:firstLine="210" w:firstLineChars="10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工程规模</w:t>
                  </w:r>
                </w:p>
              </w:tc>
              <w:tc>
                <w:tcPr>
                  <w:tcW w:w="1549"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jc w:val="center"/>
              </w:trPr>
              <w:tc>
                <w:tcPr>
                  <w:tcW w:w="687" w:type="dxa"/>
                  <w:vMerge w:val="restart"/>
                  <w:vAlign w:val="center"/>
                </w:tcPr>
                <w:p>
                  <w:pPr>
                    <w:widowControl w:val="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主体工程</w:t>
                  </w: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spacing w:after="0"/>
                    <w:ind w:firstLine="210" w:firstLineChars="10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一层</w:t>
                  </w:r>
                </w:p>
              </w:tc>
              <w:tc>
                <w:tcPr>
                  <w:tcW w:w="2753"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药房、大厅</w:t>
                  </w:r>
                </w:p>
              </w:tc>
              <w:tc>
                <w:tcPr>
                  <w:tcW w:w="2058"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建筑面积</w:t>
                  </w:r>
                  <w:r>
                    <w:rPr>
                      <w:rFonts w:hint="default" w:ascii="Times New Roman" w:hAnsi="Times New Roman" w:eastAsia="宋体" w:cs="Times New Roman"/>
                      <w:color w:val="000000"/>
                      <w:sz w:val="21"/>
                      <w:szCs w:val="21"/>
                      <w:lang w:val="en-US" w:eastAsia="zh-CN"/>
                    </w:rPr>
                    <w:t>64.61㎡</w:t>
                  </w:r>
                  <w:r>
                    <w:rPr>
                      <w:rFonts w:hint="default" w:ascii="Times New Roman" w:hAnsi="Times New Roman" w:eastAsia="宋体" w:cs="Times New Roman"/>
                      <w:color w:val="000000"/>
                      <w:sz w:val="21"/>
                      <w:szCs w:val="21"/>
                      <w:lang w:eastAsia="zh-CN"/>
                    </w:rPr>
                    <w:t>。</w:t>
                  </w:r>
                </w:p>
              </w:tc>
              <w:tc>
                <w:tcPr>
                  <w:tcW w:w="1549" w:type="dxa"/>
                  <w:vMerge w:val="restart"/>
                  <w:vAlign w:val="center"/>
                </w:tcPr>
                <w:p>
                  <w:pPr>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与环评及批复阶段建设内容一致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7" w:type="dxa"/>
                  <w:vMerge w:val="continue"/>
                  <w:vAlign w:val="center"/>
                </w:tcPr>
                <w:p>
                  <w:pPr>
                    <w:widowControl w:val="0"/>
                    <w:ind w:firstLine="210" w:firstLineChars="100"/>
                    <w:jc w:val="center"/>
                    <w:rPr>
                      <w:rFonts w:hint="default" w:ascii="Times New Roman" w:hAnsi="Times New Roman" w:eastAsia="宋体" w:cs="Times New Roman"/>
                      <w:color w:val="000000"/>
                      <w:sz w:val="21"/>
                      <w:szCs w:val="21"/>
                      <w:lang w:eastAsia="zh-CN"/>
                    </w:rPr>
                  </w:pPr>
                </w:p>
              </w:tc>
              <w:tc>
                <w:tcPr>
                  <w:tcW w:w="1627" w:type="dxa"/>
                  <w:vAlign w:val="center"/>
                </w:tcPr>
                <w:p>
                  <w:pPr>
                    <w:widowControl w:val="0"/>
                    <w:ind w:firstLine="210" w:firstLineChars="10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二层</w:t>
                  </w:r>
                </w:p>
              </w:tc>
              <w:tc>
                <w:tcPr>
                  <w:tcW w:w="2753" w:type="dxa"/>
                  <w:vAlign w:val="center"/>
                </w:tcPr>
                <w:p>
                  <w:pPr>
                    <w:widowControl w:val="0"/>
                    <w:ind w:firstLine="210" w:firstLineChars="10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药房、大厅、会议室、挂号收费室、肌注治疗室、妇科门诊室、妇科检查室、B超室、心电图室、</w:t>
                  </w:r>
                  <w:r>
                    <w:rPr>
                      <w:rFonts w:hint="default" w:ascii="Times New Roman" w:hAnsi="Times New Roman" w:eastAsia="宋体" w:cs="Times New Roman"/>
                      <w:color w:val="000000"/>
                      <w:sz w:val="21"/>
                      <w:szCs w:val="21"/>
                      <w:lang w:val="en-US" w:eastAsia="zh-CN"/>
                    </w:rPr>
                    <w:t>检验</w:t>
                  </w:r>
                  <w:r>
                    <w:rPr>
                      <w:rFonts w:hint="default" w:ascii="Times New Roman" w:hAnsi="Times New Roman" w:eastAsia="宋体" w:cs="Times New Roman"/>
                      <w:color w:val="000000"/>
                      <w:sz w:val="21"/>
                      <w:szCs w:val="21"/>
                      <w:lang w:eastAsia="zh-CN"/>
                    </w:rPr>
                    <w:t>室、牙片室、一号肿内室、二号肿内室、口腔室、一号计划生育室、二号计划生育室、一号外科诊室、二号外科诊室、一号内科诊室、二号内科诊室、医生办公室、库房、卫生间、</w:t>
                  </w:r>
                  <w:r>
                    <w:rPr>
                      <w:rFonts w:hint="default" w:ascii="Times New Roman" w:hAnsi="Times New Roman" w:eastAsia="宋体" w:cs="Times New Roman"/>
                      <w:color w:val="000000"/>
                      <w:sz w:val="21"/>
                      <w:szCs w:val="21"/>
                      <w:lang w:val="en-US" w:eastAsia="zh-CN"/>
                    </w:rPr>
                    <w:t>排风机房</w:t>
                  </w:r>
                </w:p>
              </w:tc>
              <w:tc>
                <w:tcPr>
                  <w:tcW w:w="2058" w:type="dxa"/>
                  <w:vAlign w:val="center"/>
                </w:tcPr>
                <w:p>
                  <w:pPr>
                    <w:widowControl w:val="0"/>
                    <w:ind w:firstLine="210" w:firstLineChars="10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建筑面积</w:t>
                  </w:r>
                  <w:r>
                    <w:rPr>
                      <w:rFonts w:hint="default" w:ascii="Times New Roman" w:hAnsi="Times New Roman" w:eastAsia="宋体" w:cs="Times New Roman"/>
                      <w:color w:val="000000"/>
                      <w:sz w:val="21"/>
                      <w:szCs w:val="21"/>
                      <w:lang w:val="en-US" w:eastAsia="zh-CN"/>
                    </w:rPr>
                    <w:t>671㎡</w:t>
                  </w:r>
                  <w:r>
                    <w:rPr>
                      <w:rFonts w:hint="default" w:ascii="Times New Roman" w:hAnsi="Times New Roman" w:eastAsia="宋体" w:cs="Times New Roman"/>
                      <w:color w:val="000000"/>
                      <w:sz w:val="21"/>
                      <w:szCs w:val="21"/>
                      <w:lang w:eastAsia="zh-CN"/>
                    </w:rPr>
                    <w:t>。</w:t>
                  </w:r>
                </w:p>
              </w:tc>
              <w:tc>
                <w:tcPr>
                  <w:tcW w:w="1549" w:type="dxa"/>
                  <w:vMerge w:val="continue"/>
                  <w:vAlign w:val="center"/>
                </w:tcPr>
                <w:p>
                  <w:pPr>
                    <w:widowControl w:val="0"/>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3" w:hRule="atLeast"/>
                <w:jc w:val="center"/>
              </w:trPr>
              <w:tc>
                <w:tcPr>
                  <w:tcW w:w="687" w:type="dxa"/>
                  <w:vMerge w:val="restart"/>
                  <w:vAlign w:val="center"/>
                </w:tcPr>
                <w:p>
                  <w:pPr>
                    <w:widowControl w:val="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环保工程</w:t>
                  </w: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spacing w:after="0"/>
                    <w:ind w:firstLine="210" w:firstLineChars="10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一体化污水处理站</w:t>
                  </w:r>
                </w:p>
              </w:tc>
              <w:tc>
                <w:tcPr>
                  <w:tcW w:w="2753"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采用以</w:t>
                  </w:r>
                  <w:r>
                    <w:rPr>
                      <w:rFonts w:hint="eastAsia" w:ascii="宋体" w:hAnsi="宋体" w:eastAsia="宋体" w:cs="宋体"/>
                      <w:color w:val="000000"/>
                      <w:sz w:val="21"/>
                      <w:szCs w:val="21"/>
                      <w:lang w:eastAsia="zh-CN"/>
                    </w:rPr>
                    <w:t>“</w:t>
                  </w:r>
                  <w:r>
                    <w:rPr>
                      <w:rFonts w:hint="default" w:ascii="Times New Roman" w:hAnsi="Times New Roman" w:eastAsia="宋体" w:cs="Times New Roman"/>
                      <w:color w:val="000000"/>
                      <w:sz w:val="21"/>
                      <w:szCs w:val="21"/>
                      <w:lang w:eastAsia="zh-CN"/>
                    </w:rPr>
                    <w:t>格珊调节池+混凝沉淀+氯消毒</w:t>
                  </w:r>
                  <w:r>
                    <w:rPr>
                      <w:rFonts w:hint="default" w:ascii="宋体" w:hAnsi="宋体" w:eastAsia="宋体" w:cs="宋体"/>
                      <w:color w:val="000000"/>
                      <w:sz w:val="21"/>
                      <w:szCs w:val="21"/>
                      <w:lang w:eastAsia="zh-CN"/>
                    </w:rPr>
                    <w:t>”</w:t>
                  </w:r>
                  <w:r>
                    <w:rPr>
                      <w:rFonts w:hint="default" w:ascii="Times New Roman" w:hAnsi="Times New Roman" w:eastAsia="宋体" w:cs="Times New Roman"/>
                      <w:color w:val="000000"/>
                      <w:sz w:val="21"/>
                      <w:szCs w:val="21"/>
                      <w:lang w:eastAsia="zh-CN"/>
                    </w:rPr>
                    <w:t>为核心的处理工艺</w:t>
                  </w:r>
                </w:p>
              </w:tc>
              <w:tc>
                <w:tcPr>
                  <w:tcW w:w="2058" w:type="dxa"/>
                  <w:vAlign w:val="center"/>
                </w:tcPr>
                <w:p>
                  <w:pPr>
                    <w:keepNext w:val="0"/>
                    <w:keepLines w:val="0"/>
                    <w:pageBreakBefore w:val="0"/>
                    <w:widowControl w:val="0"/>
                    <w:kinsoku/>
                    <w:wordWrap/>
                    <w:overflowPunct/>
                    <w:topLinePunct w:val="0"/>
                    <w:autoSpaceDE/>
                    <w:autoSpaceDN/>
                    <w:bidi w:val="0"/>
                    <w:adjustRightInd w:val="0"/>
                    <w:snapToGrid w:val="0"/>
                    <w:spacing w:after="0"/>
                    <w:ind w:firstLine="210" w:firstLineChars="10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设计规模</w:t>
                  </w:r>
                  <w:r>
                    <w:rPr>
                      <w:rFonts w:hint="default" w:ascii="Times New Roman" w:hAnsi="Times New Roman" w:eastAsia="宋体" w:cs="Times New Roman"/>
                      <w:color w:val="000000"/>
                      <w:sz w:val="21"/>
                      <w:szCs w:val="21"/>
                      <w:lang w:val="en-US" w:eastAsia="zh-CN"/>
                    </w:rPr>
                    <w:t>12m³</w:t>
                  </w:r>
                  <w:r>
                    <w:rPr>
                      <w:rFonts w:hint="default" w:ascii="Times New Roman" w:hAnsi="Times New Roman" w:eastAsia="宋体" w:cs="Times New Roman"/>
                      <w:color w:val="000000"/>
                      <w:sz w:val="21"/>
                      <w:szCs w:val="21"/>
                      <w:lang w:eastAsia="zh-CN"/>
                    </w:rPr>
                    <w:t>/d</w:t>
                  </w:r>
                </w:p>
              </w:tc>
              <w:tc>
                <w:tcPr>
                  <w:tcW w:w="1549" w:type="dxa"/>
                  <w:vMerge w:val="restart"/>
                  <w:vAlign w:val="center"/>
                </w:tcPr>
                <w:p>
                  <w:pPr>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与环评及批复阶段建设内容一致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3" w:hRule="atLeast"/>
                <w:jc w:val="center"/>
              </w:trPr>
              <w:tc>
                <w:tcPr>
                  <w:tcW w:w="687" w:type="dxa"/>
                  <w:vMerge w:val="continue"/>
                  <w:vAlign w:val="center"/>
                </w:tcPr>
                <w:p>
                  <w:pPr>
                    <w:widowControl w:val="0"/>
                    <w:ind w:firstLine="210" w:firstLineChars="100"/>
                    <w:jc w:val="center"/>
                    <w:rPr>
                      <w:rFonts w:hint="default" w:ascii="Times New Roman" w:hAnsi="Times New Roman" w:eastAsia="宋体" w:cs="Times New Roman"/>
                      <w:color w:val="000000"/>
                      <w:sz w:val="21"/>
                      <w:szCs w:val="21"/>
                      <w:lang w:eastAsia="zh-CN"/>
                    </w:rPr>
                  </w:pP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spacing w:after="0"/>
                    <w:ind w:firstLine="210" w:firstLineChars="10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化粪池</w:t>
                  </w:r>
                </w:p>
              </w:tc>
              <w:tc>
                <w:tcPr>
                  <w:tcW w:w="2753" w:type="dxa"/>
                  <w:vAlign w:val="center"/>
                </w:tcPr>
                <w:p>
                  <w:pPr>
                    <w:keepNext w:val="0"/>
                    <w:keepLines w:val="0"/>
                    <w:pageBreakBefore w:val="0"/>
                    <w:widowControl w:val="0"/>
                    <w:kinsoku/>
                    <w:wordWrap/>
                    <w:overflowPunct/>
                    <w:topLinePunct w:val="0"/>
                    <w:autoSpaceDE/>
                    <w:autoSpaceDN/>
                    <w:bidi w:val="0"/>
                    <w:adjustRightInd w:val="0"/>
                    <w:snapToGrid w:val="0"/>
                    <w:spacing w:after="0"/>
                    <w:ind w:firstLine="210" w:firstLineChars="10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1座</w:t>
                  </w:r>
                </w:p>
              </w:tc>
              <w:tc>
                <w:tcPr>
                  <w:tcW w:w="2058" w:type="dxa"/>
                  <w:vAlign w:val="center"/>
                </w:tcPr>
                <w:p>
                  <w:pPr>
                    <w:keepNext w:val="0"/>
                    <w:keepLines w:val="0"/>
                    <w:pageBreakBefore w:val="0"/>
                    <w:widowControl w:val="0"/>
                    <w:kinsoku/>
                    <w:wordWrap/>
                    <w:overflowPunct/>
                    <w:topLinePunct w:val="0"/>
                    <w:autoSpaceDE/>
                    <w:autoSpaceDN/>
                    <w:bidi w:val="0"/>
                    <w:adjustRightInd w:val="0"/>
                    <w:snapToGrid w:val="0"/>
                    <w:spacing w:after="0"/>
                    <w:ind w:firstLine="210" w:firstLineChars="10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容积</w:t>
                  </w:r>
                  <w:r>
                    <w:rPr>
                      <w:rFonts w:hint="default" w:ascii="Times New Roman" w:hAnsi="Times New Roman" w:eastAsia="宋体" w:cs="Times New Roman"/>
                      <w:color w:val="000000"/>
                      <w:sz w:val="21"/>
                      <w:szCs w:val="21"/>
                      <w:lang w:val="en-US" w:eastAsia="zh-CN"/>
                    </w:rPr>
                    <w:t>3m³</w:t>
                  </w:r>
                </w:p>
              </w:tc>
              <w:tc>
                <w:tcPr>
                  <w:tcW w:w="1549" w:type="dxa"/>
                  <w:vMerge w:val="continue"/>
                  <w:vAlign w:val="center"/>
                </w:tcPr>
                <w:p>
                  <w:pPr>
                    <w:widowControl w:val="0"/>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7" w:type="dxa"/>
                  <w:vMerge w:val="continue"/>
                  <w:vAlign w:val="center"/>
                </w:tcPr>
                <w:p>
                  <w:pPr>
                    <w:widowControl w:val="0"/>
                    <w:ind w:firstLine="210" w:firstLineChars="100"/>
                    <w:jc w:val="center"/>
                    <w:rPr>
                      <w:rFonts w:hint="default" w:ascii="Times New Roman" w:hAnsi="Times New Roman" w:eastAsia="宋体" w:cs="Times New Roman"/>
                      <w:color w:val="000000"/>
                      <w:sz w:val="21"/>
                      <w:szCs w:val="21"/>
                      <w:lang w:eastAsia="zh-CN"/>
                    </w:rPr>
                  </w:pPr>
                </w:p>
              </w:tc>
              <w:tc>
                <w:tcPr>
                  <w:tcW w:w="1627" w:type="dxa"/>
                  <w:vAlign w:val="center"/>
                </w:tcPr>
                <w:p>
                  <w:pPr>
                    <w:widowControl w:val="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危险废物暂存间</w:t>
                  </w:r>
                </w:p>
              </w:tc>
              <w:tc>
                <w:tcPr>
                  <w:tcW w:w="2753" w:type="dxa"/>
                  <w:vAlign w:val="center"/>
                </w:tcPr>
                <w:p>
                  <w:pPr>
                    <w:widowControl w:val="0"/>
                    <w:ind w:firstLine="210" w:firstLineChars="10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1间</w:t>
                  </w:r>
                </w:p>
              </w:tc>
              <w:tc>
                <w:tcPr>
                  <w:tcW w:w="2058" w:type="dxa"/>
                  <w:vAlign w:val="center"/>
                </w:tcPr>
                <w:p>
                  <w:pPr>
                    <w:widowControl w:val="0"/>
                    <w:ind w:firstLine="210" w:firstLineChars="10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w:t>
                  </w:r>
                  <w:r>
                    <w:rPr>
                      <w:rFonts w:hint="default" w:ascii="Times New Roman" w:hAnsi="Times New Roman" w:eastAsia="宋体" w:cs="Times New Roman"/>
                      <w:color w:val="000000"/>
                      <w:sz w:val="21"/>
                      <w:szCs w:val="21"/>
                      <w:lang w:val="en-US" w:eastAsia="zh-CN"/>
                    </w:rPr>
                    <w:t>m³</w:t>
                  </w:r>
                </w:p>
              </w:tc>
              <w:tc>
                <w:tcPr>
                  <w:tcW w:w="1549" w:type="dxa"/>
                  <w:vMerge w:val="continue"/>
                  <w:vAlign w:val="center"/>
                </w:tcPr>
                <w:p>
                  <w:pPr>
                    <w:widowControl w:val="0"/>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7" w:type="dxa"/>
                  <w:vMerge w:val="continue"/>
                  <w:vAlign w:val="center"/>
                </w:tcPr>
                <w:p>
                  <w:pPr>
                    <w:widowControl w:val="0"/>
                    <w:ind w:firstLine="210" w:firstLineChars="100"/>
                    <w:jc w:val="center"/>
                    <w:rPr>
                      <w:rFonts w:hint="default" w:ascii="Times New Roman" w:hAnsi="Times New Roman" w:eastAsia="宋体" w:cs="Times New Roman"/>
                      <w:color w:val="000000"/>
                      <w:sz w:val="21"/>
                      <w:szCs w:val="21"/>
                      <w:lang w:eastAsia="zh-CN"/>
                    </w:rPr>
                  </w:pPr>
                </w:p>
              </w:tc>
              <w:tc>
                <w:tcPr>
                  <w:tcW w:w="1627" w:type="dxa"/>
                  <w:vAlign w:val="center"/>
                </w:tcPr>
                <w:p>
                  <w:pPr>
                    <w:widowControl w:val="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生活垃圾收集桶</w:t>
                  </w:r>
                </w:p>
              </w:tc>
              <w:tc>
                <w:tcPr>
                  <w:tcW w:w="2753" w:type="dxa"/>
                  <w:vAlign w:val="center"/>
                </w:tcPr>
                <w:p>
                  <w:pPr>
                    <w:widowControl w:val="0"/>
                    <w:ind w:firstLine="210" w:firstLineChars="100"/>
                    <w:jc w:val="center"/>
                    <w:rPr>
                      <w:rFonts w:hint="default" w:ascii="Times New Roman" w:hAnsi="Times New Roman" w:eastAsia="宋体" w:cs="Times New Roman"/>
                      <w:color w:val="000000"/>
                      <w:sz w:val="21"/>
                      <w:szCs w:val="21"/>
                      <w:lang w:val="en-US" w:eastAsia="zh-CN"/>
                    </w:rPr>
                  </w:pPr>
                </w:p>
              </w:tc>
              <w:tc>
                <w:tcPr>
                  <w:tcW w:w="2058" w:type="dxa"/>
                  <w:vAlign w:val="center"/>
                </w:tcPr>
                <w:p>
                  <w:pPr>
                    <w:widowControl w:val="0"/>
                    <w:ind w:firstLine="210" w:firstLineChars="10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val="en-US" w:eastAsia="zh-CN"/>
                    </w:rPr>
                    <w:t>20个</w:t>
                  </w:r>
                </w:p>
              </w:tc>
              <w:tc>
                <w:tcPr>
                  <w:tcW w:w="1549" w:type="dxa"/>
                  <w:vMerge w:val="continue"/>
                  <w:vAlign w:val="center"/>
                </w:tcPr>
                <w:p>
                  <w:pPr>
                    <w:widowControl w:val="0"/>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jc w:val="center"/>
              </w:trPr>
              <w:tc>
                <w:tcPr>
                  <w:tcW w:w="687" w:type="dxa"/>
                  <w:vMerge w:val="continue"/>
                  <w:vAlign w:val="center"/>
                </w:tcPr>
                <w:p>
                  <w:pPr>
                    <w:widowControl w:val="0"/>
                    <w:ind w:firstLine="210" w:firstLineChars="100"/>
                    <w:jc w:val="center"/>
                    <w:rPr>
                      <w:rFonts w:hint="default" w:ascii="Times New Roman" w:hAnsi="Times New Roman" w:eastAsia="宋体" w:cs="Times New Roman"/>
                      <w:color w:val="000000"/>
                      <w:sz w:val="21"/>
                      <w:szCs w:val="21"/>
                      <w:lang w:eastAsia="zh-CN"/>
                    </w:rPr>
                  </w:pP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酸性、含铬废水处理池</w:t>
                  </w:r>
                </w:p>
              </w:tc>
              <w:tc>
                <w:tcPr>
                  <w:tcW w:w="2753" w:type="dxa"/>
                  <w:vAlign w:val="center"/>
                </w:tcPr>
                <w:p>
                  <w:pPr>
                    <w:keepNext w:val="0"/>
                    <w:keepLines w:val="0"/>
                    <w:pageBreakBefore w:val="0"/>
                    <w:widowControl w:val="0"/>
                    <w:kinsoku/>
                    <w:wordWrap/>
                    <w:overflowPunct/>
                    <w:topLinePunct w:val="0"/>
                    <w:autoSpaceDE/>
                    <w:autoSpaceDN/>
                    <w:bidi w:val="0"/>
                    <w:adjustRightInd w:val="0"/>
                    <w:snapToGrid w:val="0"/>
                    <w:spacing w:after="0"/>
                    <w:ind w:firstLine="210" w:firstLineChars="10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地上</w:t>
                  </w:r>
                  <w:r>
                    <w:rPr>
                      <w:rFonts w:hint="eastAsia" w:ascii="Times New Roman" w:hAnsi="Times New Roman" w:eastAsia="宋体" w:cs="Times New Roman"/>
                      <w:color w:val="000000"/>
                      <w:sz w:val="21"/>
                      <w:szCs w:val="21"/>
                      <w:lang w:val="en-US" w:eastAsia="zh-CN"/>
                    </w:rPr>
                    <w:t>钢</w:t>
                  </w:r>
                  <w:r>
                    <w:rPr>
                      <w:rFonts w:hint="default" w:ascii="Times New Roman" w:hAnsi="Times New Roman" w:eastAsia="宋体" w:cs="Times New Roman"/>
                      <w:color w:val="000000"/>
                      <w:sz w:val="21"/>
                      <w:szCs w:val="21"/>
                      <w:lang w:val="en-US" w:eastAsia="zh-CN"/>
                    </w:rPr>
                    <w:t>结构</w:t>
                  </w:r>
                </w:p>
              </w:tc>
              <w:tc>
                <w:tcPr>
                  <w:tcW w:w="2058"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val="en-US" w:eastAsia="zh-CN"/>
                    </w:rPr>
                    <w:t>0.5m×0.5m×1.5m</w:t>
                  </w:r>
                </w:p>
              </w:tc>
              <w:tc>
                <w:tcPr>
                  <w:tcW w:w="1549" w:type="dxa"/>
                  <w:vMerge w:val="continue"/>
                  <w:vAlign w:val="center"/>
                </w:tcPr>
                <w:p>
                  <w:pPr>
                    <w:widowControl w:val="0"/>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6" w:hRule="atLeast"/>
                <w:jc w:val="center"/>
              </w:trPr>
              <w:tc>
                <w:tcPr>
                  <w:tcW w:w="687" w:type="dxa"/>
                  <w:vMerge w:val="continue"/>
                  <w:vAlign w:val="center"/>
                </w:tcPr>
                <w:p>
                  <w:pPr>
                    <w:widowControl w:val="0"/>
                    <w:ind w:firstLine="210" w:firstLineChars="100"/>
                    <w:jc w:val="center"/>
                    <w:rPr>
                      <w:rFonts w:hint="default" w:ascii="Times New Roman" w:hAnsi="Times New Roman" w:eastAsia="宋体" w:cs="Times New Roman"/>
                      <w:color w:val="000000"/>
                      <w:sz w:val="21"/>
                      <w:szCs w:val="21"/>
                      <w:lang w:eastAsia="zh-CN"/>
                    </w:rPr>
                  </w:pP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spacing w:after="0"/>
                    <w:ind w:firstLine="210" w:firstLineChars="10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排风扇</w:t>
                  </w:r>
                </w:p>
              </w:tc>
              <w:tc>
                <w:tcPr>
                  <w:tcW w:w="2753" w:type="dxa"/>
                  <w:vAlign w:val="center"/>
                </w:tcPr>
                <w:p>
                  <w:pPr>
                    <w:keepNext w:val="0"/>
                    <w:keepLines w:val="0"/>
                    <w:pageBreakBefore w:val="0"/>
                    <w:widowControl w:val="0"/>
                    <w:kinsoku/>
                    <w:wordWrap/>
                    <w:overflowPunct/>
                    <w:topLinePunct w:val="0"/>
                    <w:autoSpaceDE/>
                    <w:autoSpaceDN/>
                    <w:bidi w:val="0"/>
                    <w:adjustRightInd w:val="0"/>
                    <w:snapToGrid w:val="0"/>
                    <w:spacing w:after="0"/>
                    <w:ind w:firstLine="210" w:firstLineChars="10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1套</w:t>
                  </w:r>
                </w:p>
              </w:tc>
              <w:tc>
                <w:tcPr>
                  <w:tcW w:w="2058" w:type="dxa"/>
                  <w:vAlign w:val="center"/>
                </w:tcPr>
                <w:p>
                  <w:pPr>
                    <w:keepNext w:val="0"/>
                    <w:keepLines w:val="0"/>
                    <w:pageBreakBefore w:val="0"/>
                    <w:widowControl w:val="0"/>
                    <w:kinsoku/>
                    <w:wordWrap/>
                    <w:overflowPunct/>
                    <w:topLinePunct w:val="0"/>
                    <w:autoSpaceDE/>
                    <w:autoSpaceDN/>
                    <w:bidi w:val="0"/>
                    <w:adjustRightInd w:val="0"/>
                    <w:snapToGrid w:val="0"/>
                    <w:spacing w:after="0"/>
                    <w:ind w:firstLine="210" w:firstLineChars="10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w:t>
                  </w:r>
                </w:p>
              </w:tc>
              <w:tc>
                <w:tcPr>
                  <w:tcW w:w="1549" w:type="dxa"/>
                  <w:vMerge w:val="continue"/>
                  <w:vAlign w:val="center"/>
                </w:tcPr>
                <w:p>
                  <w:pPr>
                    <w:widowControl w:val="0"/>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1" w:hRule="atLeast"/>
                <w:jc w:val="center"/>
              </w:trPr>
              <w:tc>
                <w:tcPr>
                  <w:tcW w:w="687" w:type="dxa"/>
                  <w:vMerge w:val="continue"/>
                  <w:vAlign w:val="center"/>
                </w:tcPr>
                <w:p>
                  <w:pPr>
                    <w:widowControl w:val="0"/>
                    <w:ind w:firstLine="210" w:firstLineChars="100"/>
                    <w:jc w:val="center"/>
                    <w:rPr>
                      <w:rFonts w:hint="default" w:ascii="Times New Roman" w:hAnsi="Times New Roman" w:eastAsia="宋体" w:cs="Times New Roman"/>
                      <w:color w:val="000000"/>
                      <w:sz w:val="21"/>
                      <w:szCs w:val="21"/>
                      <w:lang w:eastAsia="zh-CN"/>
                    </w:rPr>
                  </w:pP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建筑物隔音窗</w:t>
                  </w:r>
                </w:p>
              </w:tc>
              <w:tc>
                <w:tcPr>
                  <w:tcW w:w="2753" w:type="dxa"/>
                  <w:vAlign w:val="center"/>
                </w:tcPr>
                <w:p>
                  <w:pPr>
                    <w:keepNext w:val="0"/>
                    <w:keepLines w:val="0"/>
                    <w:pageBreakBefore w:val="0"/>
                    <w:widowControl w:val="0"/>
                    <w:kinsoku/>
                    <w:wordWrap/>
                    <w:overflowPunct/>
                    <w:topLinePunct w:val="0"/>
                    <w:autoSpaceDE/>
                    <w:autoSpaceDN/>
                    <w:bidi w:val="0"/>
                    <w:adjustRightInd w:val="0"/>
                    <w:snapToGrid w:val="0"/>
                    <w:spacing w:after="0"/>
                    <w:ind w:firstLine="210" w:firstLineChars="10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10套</w:t>
                  </w:r>
                </w:p>
              </w:tc>
              <w:tc>
                <w:tcPr>
                  <w:tcW w:w="2058" w:type="dxa"/>
                  <w:vAlign w:val="center"/>
                </w:tcPr>
                <w:p>
                  <w:pPr>
                    <w:keepNext w:val="0"/>
                    <w:keepLines w:val="0"/>
                    <w:pageBreakBefore w:val="0"/>
                    <w:widowControl w:val="0"/>
                    <w:kinsoku/>
                    <w:wordWrap/>
                    <w:overflowPunct/>
                    <w:topLinePunct w:val="0"/>
                    <w:autoSpaceDE/>
                    <w:autoSpaceDN/>
                    <w:bidi w:val="0"/>
                    <w:adjustRightInd w:val="0"/>
                    <w:snapToGrid w:val="0"/>
                    <w:spacing w:after="0"/>
                    <w:ind w:firstLine="210" w:firstLineChars="10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1549" w:type="dxa"/>
                  <w:vMerge w:val="continue"/>
                  <w:vAlign w:val="center"/>
                </w:tcPr>
                <w:p>
                  <w:pPr>
                    <w:widowControl w:val="0"/>
                    <w:jc w:val="center"/>
                    <w:rPr>
                      <w:rFonts w:hint="default" w:ascii="Times New Roman" w:hAnsi="Times New Roman" w:eastAsia="宋体" w:cs="Times New Roman"/>
                      <w:sz w:val="21"/>
                      <w:szCs w:val="21"/>
                    </w:rPr>
                  </w:pPr>
                </w:p>
              </w:tc>
            </w:tr>
          </w:tbl>
          <w:p>
            <w:pPr>
              <w:widowControl w:val="0"/>
              <w:jc w:val="both"/>
              <w:rPr>
                <w:rFonts w:hint="default" w:ascii="Times New Roman" w:hAnsi="Times New Roman" w:eastAsia="宋体" w:cs="Times New Roman"/>
                <w:color w:val="00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2、排水方案及水平衡</w:t>
            </w:r>
          </w:p>
          <w:p>
            <w:pPr>
              <w:keepNext w:val="0"/>
              <w:keepLines w:val="0"/>
              <w:pageBreakBefore w:val="0"/>
              <w:widowControl w:val="0"/>
              <w:kinsoku/>
              <w:wordWrap/>
              <w:overflowPunct/>
              <w:topLinePunct w:val="0"/>
              <w:autoSpaceDE/>
              <w:autoSpaceDN/>
              <w:bidi w:val="0"/>
              <w:adjustRightInd/>
              <w:snapToGrid/>
              <w:spacing w:after="100" w:line="288" w:lineRule="auto"/>
              <w:ind w:left="220" w:leftChars="100" w:right="220" w:rightChars="100" w:firstLine="420" w:firstLineChars="200"/>
              <w:jc w:val="both"/>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本项目无洗涤和餐饮废水，</w:t>
            </w:r>
            <w:r>
              <w:rPr>
                <w:rFonts w:hint="default" w:ascii="Times New Roman" w:hAnsi="Times New Roman" w:eastAsia="宋体" w:cs="Times New Roman"/>
                <w:color w:val="000000"/>
                <w:sz w:val="21"/>
                <w:szCs w:val="21"/>
                <w:lang w:eastAsia="zh-CN"/>
              </w:rPr>
              <w:t>污水</w:t>
            </w:r>
            <w:r>
              <w:rPr>
                <w:rFonts w:hint="default" w:ascii="Times New Roman" w:hAnsi="Times New Roman" w:eastAsia="宋体" w:cs="Times New Roman"/>
                <w:color w:val="000000"/>
                <w:sz w:val="21"/>
                <w:szCs w:val="21"/>
                <w:lang w:val="en-US" w:eastAsia="zh-CN"/>
              </w:rPr>
              <w:t>排放</w:t>
            </w:r>
            <w:r>
              <w:rPr>
                <w:rFonts w:hint="default" w:ascii="Times New Roman" w:hAnsi="Times New Roman" w:eastAsia="宋体" w:cs="Times New Roman"/>
                <w:color w:val="000000"/>
                <w:sz w:val="21"/>
                <w:szCs w:val="21"/>
                <w:lang w:eastAsia="zh-CN"/>
              </w:rPr>
              <w:t>总量为</w:t>
            </w:r>
            <w:r>
              <w:rPr>
                <w:rFonts w:hint="default" w:ascii="Times New Roman" w:hAnsi="Times New Roman" w:eastAsia="宋体" w:cs="Times New Roman"/>
                <w:color w:val="000000"/>
                <w:sz w:val="21"/>
                <w:szCs w:val="21"/>
                <w:lang w:val="en-US" w:eastAsia="zh-CN"/>
              </w:rPr>
              <w:t>11.55</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vertAlign w:val="superscript"/>
                <w:lang w:eastAsia="zh-CN"/>
              </w:rPr>
              <w:t>3</w:t>
            </w:r>
            <w:r>
              <w:rPr>
                <w:rFonts w:hint="default" w:ascii="Times New Roman" w:hAnsi="Times New Roman" w:eastAsia="宋体" w:cs="Times New Roman"/>
                <w:color w:val="000000"/>
                <w:sz w:val="21"/>
                <w:szCs w:val="21"/>
                <w:lang w:eastAsia="zh-CN"/>
              </w:rPr>
              <w:t>/d</w:t>
            </w:r>
            <w:r>
              <w:rPr>
                <w:rFonts w:hint="default" w:ascii="Times New Roman" w:hAnsi="Times New Roman" w:eastAsia="宋体" w:cs="Times New Roman"/>
                <w:color w:val="000000"/>
                <w:sz w:val="21"/>
                <w:szCs w:val="21"/>
                <w:lang w:val="en-US" w:eastAsia="zh-CN"/>
              </w:rPr>
              <w:t>(4215.75</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vertAlign w:val="superscript"/>
                <w:lang w:eastAsia="zh-CN"/>
              </w:rPr>
              <w:t>3</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lang w:val="en-US" w:eastAsia="zh-CN"/>
              </w:rPr>
              <w:t>a)。</w:t>
            </w:r>
            <w:r>
              <w:rPr>
                <w:rFonts w:hint="eastAsia" w:ascii="Times New Roman" w:hAnsi="Times New Roman" w:eastAsia="宋体" w:cs="Times New Roman"/>
                <w:color w:val="000000"/>
                <w:sz w:val="21"/>
                <w:szCs w:val="21"/>
                <w:lang w:val="en-US" w:eastAsia="zh-CN"/>
              </w:rPr>
              <w:t>运营期</w:t>
            </w:r>
            <w:r>
              <w:rPr>
                <w:rFonts w:hint="default" w:ascii="Times New Roman" w:hAnsi="Times New Roman" w:eastAsia="宋体" w:cs="Times New Roman"/>
                <w:color w:val="000000"/>
                <w:sz w:val="21"/>
                <w:szCs w:val="21"/>
              </w:rPr>
              <w:t>主要进行预防保健和全科诊疗</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污水主要为医务人员、门诊病人及观察病人产生的</w:t>
            </w:r>
            <w:r>
              <w:rPr>
                <w:rFonts w:hint="default" w:ascii="Times New Roman" w:hAnsi="Times New Roman" w:eastAsia="宋体" w:cs="Times New Roman"/>
                <w:color w:val="000000"/>
                <w:sz w:val="21"/>
                <w:szCs w:val="21"/>
                <w:lang w:val="en-US" w:eastAsia="zh-CN"/>
              </w:rPr>
              <w:t>医</w:t>
            </w:r>
            <w:r>
              <w:rPr>
                <w:rFonts w:hint="default" w:ascii="Times New Roman" w:hAnsi="Times New Roman" w:eastAsia="宋体" w:cs="Times New Roman"/>
                <w:color w:val="000000"/>
                <w:sz w:val="21"/>
                <w:szCs w:val="21"/>
              </w:rPr>
              <w:t>疗废水</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生活污水</w:t>
            </w:r>
            <w:r>
              <w:rPr>
                <w:rFonts w:hint="default" w:ascii="Times New Roman" w:hAnsi="Times New Roman" w:eastAsia="宋体" w:cs="Times New Roman"/>
                <w:color w:val="000000"/>
                <w:sz w:val="21"/>
                <w:szCs w:val="21"/>
                <w:lang w:val="en-US" w:eastAsia="zh-CN"/>
              </w:rPr>
              <w:t>和检验废水</w:t>
            </w:r>
            <w:r>
              <w:rPr>
                <w:rFonts w:hint="default" w:ascii="Times New Roman" w:hAnsi="Times New Roman" w:eastAsia="宋体" w:cs="Times New Roman"/>
                <w:color w:val="000000"/>
                <w:sz w:val="21"/>
                <w:szCs w:val="21"/>
              </w:rPr>
              <w:t>。</w:t>
            </w:r>
            <w:r>
              <w:rPr>
                <w:rFonts w:hint="default" w:ascii="Times New Roman" w:hAnsi="Times New Roman" w:eastAsia="宋体" w:cs="Times New Roman"/>
                <w:color w:val="000000"/>
                <w:sz w:val="21"/>
                <w:szCs w:val="21"/>
                <w:lang w:val="en-US" w:eastAsia="zh-CN"/>
              </w:rPr>
              <w:t>检验</w:t>
            </w:r>
            <w:r>
              <w:rPr>
                <w:rFonts w:hint="default" w:ascii="Times New Roman" w:hAnsi="Times New Roman" w:eastAsia="宋体" w:cs="Times New Roman"/>
                <w:color w:val="000000"/>
                <w:sz w:val="21"/>
                <w:szCs w:val="21"/>
              </w:rPr>
              <w:t>废水主要为检验、分析过程产生的</w:t>
            </w:r>
            <w:r>
              <w:rPr>
                <w:rFonts w:hint="default" w:ascii="Times New Roman" w:hAnsi="Times New Roman" w:eastAsia="宋体" w:cs="Times New Roman"/>
                <w:color w:val="000000"/>
                <w:sz w:val="21"/>
                <w:szCs w:val="21"/>
                <w:lang w:val="en-US" w:eastAsia="zh-CN"/>
              </w:rPr>
              <w:t>酸性污水、含铬污水，酸性废水、含铬废水经</w:t>
            </w:r>
            <w:r>
              <w:rPr>
                <w:rFonts w:hint="eastAsia" w:ascii="Times New Roman" w:hAnsi="Times New Roman" w:eastAsia="宋体" w:cs="Times New Roman"/>
                <w:color w:val="000000"/>
                <w:sz w:val="21"/>
                <w:szCs w:val="21"/>
                <w:lang w:val="en-US" w:eastAsia="zh-CN"/>
              </w:rPr>
              <w:t>预</w:t>
            </w:r>
            <w:r>
              <w:rPr>
                <w:rFonts w:hint="default" w:ascii="Times New Roman" w:hAnsi="Times New Roman" w:eastAsia="宋体" w:cs="Times New Roman"/>
                <w:color w:val="000000"/>
                <w:sz w:val="21"/>
                <w:szCs w:val="21"/>
                <w:lang w:val="en-US" w:eastAsia="zh-CN"/>
              </w:rPr>
              <w:t>处理后进入一体化污水处理设施，达到《医疗机构水污染物排放标准》(GB18466-2005)表2预处理标准后，排入枣山路市政道路污水管网，经鲤鱼排水主干线市政污水管、市西河截污沟、南明河左岸截污沟进入新庄污水处理厂(二期)处理，处理水质达到《城镇污水处理厂污染物排放标准》(GB18918-2002)及修改单一级A标准后，排入南明河。排水方案见图2-3，运营期水平衡见图2-4。</w:t>
            </w:r>
          </w:p>
          <w:p>
            <w:pPr>
              <w:keepNext w:val="0"/>
              <w:keepLines w:val="0"/>
              <w:pageBreakBefore w:val="0"/>
              <w:widowControl w:val="0"/>
              <w:kinsoku/>
              <w:wordWrap/>
              <w:overflowPunct/>
              <w:topLinePunct w:val="0"/>
              <w:autoSpaceDE/>
              <w:autoSpaceDN/>
              <w:bidi w:val="0"/>
              <w:adjustRightInd/>
              <w:snapToGrid/>
              <w:spacing w:after="100" w:line="288" w:lineRule="auto"/>
              <w:ind w:left="220" w:leftChars="100" w:right="220" w:rightChars="100" w:firstLine="420" w:firstLineChars="200"/>
              <w:jc w:val="both"/>
              <w:textAlignment w:val="auto"/>
              <w:outlineLvl w:val="9"/>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object>
                <v:shape id="_x0000_i1025" o:spt="75" type="#_x0000_t75" style="height:138.3pt;width:390.35pt;" o:ole="t" filled="f" o:preferrelative="t" stroked="f" coordsize="21600,21600">
                  <v:path/>
                  <v:fill on="f" focussize="0,0"/>
                  <v:stroke on="f"/>
                  <v:imagedata r:id="rId9" croptop="10382f" o:title=""/>
                  <o:lock v:ext="edit" aspectratio="t"/>
                  <w10:wrap type="none"/>
                  <w10:anchorlock/>
                </v:shape>
                <o:OLEObject Type="Embed" ProgID="Visio.Drawing.11" ShapeID="_x0000_i1025" DrawAspect="Content" ObjectID="_1468075725" r:id="rId8">
                  <o:LockedField>false</o:LockedField>
                </o:OLEObject>
              </w:object>
            </w:r>
          </w:p>
          <w:p>
            <w:pPr>
              <w:keepNext w:val="0"/>
              <w:keepLines w:val="0"/>
              <w:pageBreakBefore w:val="0"/>
              <w:widowControl w:val="0"/>
              <w:tabs>
                <w:tab w:val="left" w:pos="696"/>
              </w:tabs>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 xml:space="preserve">                                图2-3  排水方案图</w:t>
            </w:r>
          </w:p>
          <w:p>
            <w:pPr>
              <w:keepNext w:val="0"/>
              <w:keepLines w:val="0"/>
              <w:pageBreakBefore w:val="0"/>
              <w:widowControl w:val="0"/>
              <w:kinsoku/>
              <w:wordWrap/>
              <w:overflowPunct/>
              <w:topLinePunct w:val="0"/>
              <w:autoSpaceDE/>
              <w:autoSpaceDN/>
              <w:bidi w:val="0"/>
              <w:adjustRightInd/>
              <w:snapToGrid/>
              <w:spacing w:line="240" w:lineRule="auto"/>
              <w:ind w:left="210" w:right="0" w:rightChars="0" w:hanging="210" w:hangingChars="100"/>
              <w:jc w:val="both"/>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sz w:val="21"/>
                <w:szCs w:val="21"/>
              </w:rPr>
              <w:object>
                <v:shape id="_x0000_i1026" o:spt="75" type="#_x0000_t75" style="height:167.5pt;width:427.25pt;" o:ole="t" filled="f" o:preferrelative="t" stroked="f" coordsize="21600,21600">
                  <v:path/>
                  <v:fill on="f" focussize="0,0"/>
                  <v:stroke on="f"/>
                  <v:imagedata r:id="rId11" croptop="2466f" cropbottom="8542f" o:title=""/>
                  <o:lock v:ext="edit" aspectratio="t"/>
                  <w10:wrap type="none"/>
                  <w10:anchorlock/>
                </v:shape>
                <o:OLEObject Type="Embed" ProgID="Visio.Drawing.11" ShapeID="_x0000_i1026" DrawAspect="Content" ObjectID="_1468075726" r:id="rId10">
                  <o:LockedField>false</o:LockedField>
                </o:OLEObject>
              </w:object>
            </w:r>
          </w:p>
          <w:p>
            <w:pPr>
              <w:keepNext w:val="0"/>
              <w:keepLines w:val="0"/>
              <w:pageBreakBefore w:val="0"/>
              <w:widowControl w:val="0"/>
              <w:tabs>
                <w:tab w:val="left" w:pos="696"/>
              </w:tabs>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图2-4  运营期水平衡图</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b/>
                <w:bCs/>
                <w:color w:val="000000"/>
                <w:sz w:val="21"/>
                <w:szCs w:val="21"/>
                <w:lang w:val="en-US" w:eastAsia="zh-CN"/>
              </w:rPr>
              <w:t>3、</w:t>
            </w:r>
            <w:r>
              <w:rPr>
                <w:rFonts w:hint="default" w:ascii="Times New Roman" w:hAnsi="Times New Roman" w:eastAsia="宋体" w:cs="Times New Roman"/>
                <w:b/>
                <w:bCs/>
                <w:color w:val="000000"/>
                <w:sz w:val="21"/>
                <w:szCs w:val="21"/>
                <w:lang w:eastAsia="zh-CN"/>
              </w:rPr>
              <w:t>污水处理站</w:t>
            </w:r>
            <w:r>
              <w:rPr>
                <w:rFonts w:hint="default" w:ascii="Times New Roman" w:hAnsi="Times New Roman" w:eastAsia="宋体" w:cs="Times New Roman"/>
                <w:b/>
                <w:bCs/>
                <w:color w:val="000000"/>
                <w:sz w:val="21"/>
                <w:szCs w:val="21"/>
              </w:rPr>
              <w:t>工艺流程及产物环节</w:t>
            </w:r>
          </w:p>
          <w:p>
            <w:pPr>
              <w:keepNext w:val="0"/>
              <w:keepLines w:val="0"/>
              <w:pageBreakBefore w:val="0"/>
              <w:widowControl w:val="0"/>
              <w:kinsoku/>
              <w:wordWrap/>
              <w:overflowPunct/>
              <w:topLinePunct w:val="0"/>
              <w:autoSpaceDE/>
              <w:autoSpaceDN/>
              <w:bidi w:val="0"/>
              <w:adjustRightInd/>
              <w:snapToGrid/>
              <w:spacing w:after="100" w:line="288" w:lineRule="auto"/>
              <w:ind w:left="220" w:leftChars="100" w:right="220" w:rightChars="100" w:firstLine="420" w:firstLineChars="200"/>
              <w:jc w:val="both"/>
              <w:textAlignment w:val="auto"/>
              <w:outlineLvl w:val="9"/>
              <w:rPr>
                <w:rFonts w:hint="default" w:ascii="Times New Roman" w:hAnsi="Times New Roman" w:eastAsia="宋体" w:cs="Times New Roman"/>
                <w:color w:val="000000"/>
                <w:sz w:val="21"/>
                <w:szCs w:val="21"/>
                <w:highlight w:val="green"/>
                <w:lang w:val="en-US" w:eastAsia="zh-CN"/>
              </w:rPr>
            </w:pPr>
            <w:r>
              <w:rPr>
                <w:rFonts w:hint="default" w:ascii="Times New Roman" w:hAnsi="Times New Roman" w:eastAsia="宋体" w:cs="Times New Roman"/>
                <w:color w:val="000000"/>
                <w:sz w:val="21"/>
                <w:szCs w:val="21"/>
                <w:highlight w:val="none"/>
              </w:rPr>
              <w:t>本项目</w:t>
            </w:r>
            <w:r>
              <w:rPr>
                <w:rFonts w:hint="default" w:ascii="Times New Roman" w:hAnsi="Times New Roman" w:eastAsia="宋体" w:cs="Times New Roman"/>
                <w:color w:val="000000"/>
                <w:sz w:val="21"/>
                <w:szCs w:val="21"/>
                <w:highlight w:val="none"/>
                <w:lang w:val="en-US" w:eastAsia="zh-CN"/>
              </w:rPr>
              <w:t>一体化污水处理设施</w:t>
            </w:r>
            <w:r>
              <w:rPr>
                <w:rFonts w:hint="default" w:ascii="Times New Roman" w:hAnsi="Times New Roman" w:eastAsia="宋体" w:cs="Times New Roman"/>
                <w:color w:val="000000"/>
                <w:sz w:val="21"/>
                <w:szCs w:val="21"/>
                <w:highlight w:val="none"/>
              </w:rPr>
              <w:t>采用</w:t>
            </w:r>
            <w:r>
              <w:rPr>
                <w:rFonts w:hint="eastAsia" w:ascii="宋体" w:hAnsi="宋体" w:eastAsia="宋体" w:cs="宋体"/>
                <w:color w:val="000000"/>
                <w:sz w:val="21"/>
                <w:szCs w:val="21"/>
                <w:highlight w:val="none"/>
                <w:lang w:eastAsia="zh-CN"/>
              </w:rPr>
              <w:t>“</w:t>
            </w:r>
            <w:r>
              <w:rPr>
                <w:rFonts w:hint="default" w:ascii="Times New Roman" w:hAnsi="Times New Roman" w:eastAsia="宋体" w:cs="Times New Roman"/>
                <w:color w:val="000000"/>
                <w:sz w:val="21"/>
                <w:szCs w:val="21"/>
                <w:highlight w:val="none"/>
                <w:lang w:eastAsia="zh-CN"/>
              </w:rPr>
              <w:t>格珊调节池+混凝沉淀+</w:t>
            </w:r>
            <w:r>
              <w:rPr>
                <w:rFonts w:hint="eastAsia" w:ascii="Times New Roman" w:hAnsi="Times New Roman" w:eastAsia="宋体" w:cs="Times New Roman"/>
                <w:color w:val="000000"/>
                <w:sz w:val="21"/>
                <w:szCs w:val="21"/>
                <w:highlight w:val="none"/>
                <w:lang w:eastAsia="zh-CN"/>
              </w:rPr>
              <w:t>亚</w:t>
            </w:r>
            <w:r>
              <w:rPr>
                <w:rFonts w:hint="default" w:ascii="Times New Roman" w:hAnsi="Times New Roman" w:eastAsia="宋体" w:cs="Times New Roman"/>
                <w:color w:val="000000"/>
                <w:sz w:val="21"/>
                <w:szCs w:val="21"/>
                <w:highlight w:val="none"/>
                <w:lang w:eastAsia="zh-CN"/>
              </w:rPr>
              <w:t>氯</w:t>
            </w:r>
            <w:r>
              <w:rPr>
                <w:rFonts w:hint="eastAsia" w:ascii="Times New Roman" w:hAnsi="Times New Roman" w:eastAsia="宋体" w:cs="Times New Roman"/>
                <w:color w:val="000000"/>
                <w:sz w:val="21"/>
                <w:szCs w:val="21"/>
                <w:highlight w:val="none"/>
                <w:lang w:eastAsia="zh-CN"/>
              </w:rPr>
              <w:t>酸钠</w:t>
            </w:r>
            <w:r>
              <w:rPr>
                <w:rFonts w:hint="default" w:ascii="Times New Roman" w:hAnsi="Times New Roman" w:eastAsia="宋体" w:cs="Times New Roman"/>
                <w:color w:val="000000"/>
                <w:sz w:val="21"/>
                <w:szCs w:val="21"/>
                <w:highlight w:val="none"/>
                <w:lang w:eastAsia="zh-CN"/>
              </w:rPr>
              <w:t>消毒</w:t>
            </w:r>
            <w:r>
              <w:rPr>
                <w:rFonts w:hint="eastAsia" w:ascii="宋体" w:hAnsi="宋体" w:eastAsia="宋体" w:cs="宋体"/>
                <w:color w:val="000000"/>
                <w:sz w:val="21"/>
                <w:szCs w:val="21"/>
                <w:highlight w:val="none"/>
                <w:lang w:eastAsia="zh-CN"/>
              </w:rPr>
              <w:t>”</w:t>
            </w:r>
            <w:r>
              <w:rPr>
                <w:rFonts w:hint="default" w:ascii="Times New Roman" w:hAnsi="Times New Roman" w:eastAsia="宋体" w:cs="Times New Roman"/>
                <w:color w:val="000000"/>
                <w:sz w:val="21"/>
                <w:szCs w:val="21"/>
                <w:highlight w:val="none"/>
              </w:rPr>
              <w:t>的处理工艺</w:t>
            </w:r>
            <w:r>
              <w:rPr>
                <w:rFonts w:hint="default" w:ascii="Times New Roman" w:hAnsi="Times New Roman" w:eastAsia="宋体" w:cs="Times New Roman"/>
                <w:color w:val="000000"/>
                <w:sz w:val="21"/>
                <w:szCs w:val="21"/>
                <w:highlight w:val="none"/>
                <w:lang w:eastAsia="zh-CN"/>
              </w:rPr>
              <w:t>，设计</w:t>
            </w:r>
            <w:r>
              <w:rPr>
                <w:rFonts w:hint="default" w:ascii="Times New Roman" w:hAnsi="Times New Roman" w:eastAsia="宋体" w:cs="Times New Roman"/>
                <w:color w:val="000000"/>
                <w:sz w:val="21"/>
                <w:szCs w:val="21"/>
                <w:highlight w:val="none"/>
                <w:lang w:val="en-US" w:eastAsia="zh-CN"/>
              </w:rPr>
              <w:t>处理</w:t>
            </w:r>
            <w:r>
              <w:rPr>
                <w:rFonts w:hint="default" w:ascii="Times New Roman" w:hAnsi="Times New Roman" w:eastAsia="宋体" w:cs="Times New Roman"/>
                <w:color w:val="000000"/>
                <w:sz w:val="21"/>
                <w:szCs w:val="21"/>
                <w:highlight w:val="none"/>
                <w:lang w:eastAsia="zh-CN"/>
              </w:rPr>
              <w:t>规模为</w:t>
            </w:r>
            <w:r>
              <w:rPr>
                <w:rFonts w:hint="default" w:ascii="Times New Roman" w:hAnsi="Times New Roman" w:eastAsia="宋体" w:cs="Times New Roman"/>
                <w:color w:val="000000"/>
                <w:sz w:val="21"/>
                <w:szCs w:val="21"/>
                <w:highlight w:val="none"/>
                <w:lang w:val="en-US" w:eastAsia="zh-CN"/>
              </w:rPr>
              <w:t>12m</w:t>
            </w:r>
            <w:r>
              <w:rPr>
                <w:rFonts w:hint="default" w:ascii="Times New Roman" w:hAnsi="Times New Roman" w:eastAsia="宋体" w:cs="Times New Roman"/>
                <w:color w:val="000000"/>
                <w:sz w:val="21"/>
                <w:szCs w:val="21"/>
                <w:highlight w:val="none"/>
                <w:vertAlign w:val="superscript"/>
                <w:lang w:val="en-US" w:eastAsia="zh-CN"/>
              </w:rPr>
              <w:t>3</w:t>
            </w:r>
            <w:r>
              <w:rPr>
                <w:rFonts w:hint="default" w:ascii="Times New Roman" w:hAnsi="Times New Roman" w:eastAsia="宋体" w:cs="Times New Roman"/>
                <w:color w:val="000000"/>
                <w:sz w:val="21"/>
                <w:szCs w:val="21"/>
                <w:highlight w:val="none"/>
                <w:vertAlign w:val="baseline"/>
                <w:lang w:val="en-US" w:eastAsia="zh-CN"/>
              </w:rPr>
              <w:t>/d</w:t>
            </w:r>
            <w:r>
              <w:rPr>
                <w:rFonts w:hint="default" w:ascii="Times New Roman" w:hAnsi="Times New Roman" w:eastAsia="宋体" w:cs="Times New Roman"/>
                <w:color w:val="000000"/>
                <w:sz w:val="21"/>
                <w:szCs w:val="21"/>
                <w:highlight w:val="none"/>
                <w:lang w:eastAsia="zh-CN"/>
              </w:rPr>
              <w:t>。</w:t>
            </w:r>
            <w:r>
              <w:rPr>
                <w:rFonts w:hint="default" w:ascii="Times New Roman" w:hAnsi="Times New Roman" w:eastAsia="宋体" w:cs="Times New Roman"/>
                <w:color w:val="000000"/>
                <w:sz w:val="21"/>
                <w:szCs w:val="21"/>
                <w:highlight w:val="none"/>
                <w:lang w:val="en-US" w:eastAsia="zh-CN"/>
              </w:rPr>
              <w:t>本项目运营期各检</w:t>
            </w:r>
            <w:r>
              <w:rPr>
                <w:rFonts w:hint="default" w:ascii="Times New Roman" w:hAnsi="Times New Roman" w:eastAsia="宋体" w:cs="Times New Roman"/>
                <w:color w:val="000000"/>
                <w:sz w:val="21"/>
                <w:szCs w:val="21"/>
                <w:highlight w:val="none"/>
              </w:rPr>
              <w:t>验室废水</w:t>
            </w:r>
            <w:r>
              <w:rPr>
                <w:rFonts w:hint="eastAsia" w:ascii="Times New Roman" w:hAnsi="Times New Roman" w:eastAsia="宋体" w:cs="Times New Roman"/>
                <w:color w:val="000000"/>
                <w:sz w:val="21"/>
                <w:szCs w:val="21"/>
                <w:highlight w:val="none"/>
                <w:lang w:eastAsia="zh-CN"/>
              </w:rPr>
              <w:t>经</w:t>
            </w:r>
            <w:r>
              <w:rPr>
                <w:rFonts w:hint="default" w:ascii="Times New Roman" w:hAnsi="Times New Roman" w:eastAsia="宋体" w:cs="Times New Roman"/>
                <w:color w:val="000000"/>
                <w:sz w:val="21"/>
                <w:szCs w:val="21"/>
                <w:highlight w:val="none"/>
              </w:rPr>
              <w:t>分质预处理，与医疗废水、生活污水一起经化粪池截留沉淀后，经</w:t>
            </w:r>
            <w:r>
              <w:rPr>
                <w:rFonts w:hint="default" w:ascii="Times New Roman" w:hAnsi="Times New Roman" w:eastAsia="宋体" w:cs="Times New Roman"/>
                <w:color w:val="000000"/>
                <w:sz w:val="21"/>
                <w:szCs w:val="21"/>
                <w:highlight w:val="none"/>
                <w:lang w:eastAsia="zh-CN"/>
              </w:rPr>
              <w:t>一体化污水处理设施后</w:t>
            </w:r>
            <w:r>
              <w:rPr>
                <w:rFonts w:hint="default" w:ascii="Times New Roman" w:hAnsi="Times New Roman" w:eastAsia="宋体" w:cs="Times New Roman"/>
                <w:color w:val="000000"/>
                <w:sz w:val="21"/>
                <w:szCs w:val="21"/>
                <w:highlight w:val="none"/>
              </w:rPr>
              <w:t>达到《医疗机构水污染物</w:t>
            </w:r>
            <w:r>
              <w:rPr>
                <w:rFonts w:hint="eastAsia" w:ascii="Times New Roman" w:hAnsi="Times New Roman" w:eastAsia="宋体" w:cs="Times New Roman"/>
                <w:color w:val="000000"/>
                <w:sz w:val="21"/>
                <w:szCs w:val="21"/>
                <w:highlight w:val="none"/>
                <w:lang w:eastAsia="zh-CN"/>
              </w:rPr>
              <w:t>排放标准</w:t>
            </w:r>
            <w:r>
              <w:rPr>
                <w:rFonts w:hint="default" w:ascii="Times New Roman" w:hAnsi="Times New Roman" w:eastAsia="宋体" w:cs="Times New Roman"/>
                <w:color w:val="000000"/>
                <w:sz w:val="21"/>
                <w:szCs w:val="21"/>
                <w:highlight w:val="none"/>
              </w:rPr>
              <w:t>》(GB18466-2005)表2预处理标准</w:t>
            </w:r>
            <w:r>
              <w:rPr>
                <w:rFonts w:hint="default" w:ascii="Times New Roman" w:hAnsi="Times New Roman" w:eastAsia="宋体" w:cs="Times New Roman"/>
                <w:color w:val="000000"/>
                <w:sz w:val="21"/>
                <w:szCs w:val="21"/>
                <w:highlight w:val="none"/>
                <w:lang w:eastAsia="zh-CN"/>
              </w:rPr>
              <w:t>，最终排入枣山路市政道路污水管网。工艺流程图见图</w:t>
            </w:r>
            <w:r>
              <w:rPr>
                <w:rFonts w:hint="default" w:ascii="Times New Roman" w:hAnsi="Times New Roman" w:eastAsia="宋体" w:cs="Times New Roman"/>
                <w:color w:val="000000"/>
                <w:sz w:val="21"/>
                <w:szCs w:val="21"/>
                <w:highlight w:val="none"/>
                <w:lang w:val="en-US" w:eastAsia="zh-CN"/>
              </w:rPr>
              <w:t>2-5,产污节点图见图2-6。</w:t>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sz w:val="21"/>
                <w:szCs w:val="21"/>
                <w:highlight w:val="green"/>
                <w:lang w:val="en-US" w:eastAsia="zh-CN"/>
              </w:rPr>
            </w:pPr>
            <w:r>
              <w:rPr>
                <w:rFonts w:hint="default" w:ascii="Times New Roman" w:hAnsi="Times New Roman" w:eastAsia="宋体" w:cs="Times New Roman"/>
                <w:color w:val="000000"/>
                <w:sz w:val="21"/>
                <w:szCs w:val="21"/>
              </w:rPr>
              <w:object>
                <v:shape id="_x0000_i1027" o:spt="75" type="#_x0000_t75" style="height:133.5pt;width:316.5pt;" o:ole="t" filled="f" o:preferrelative="t" stroked="f" coordsize="21600,21600">
                  <v:path/>
                  <v:fill on="f" focussize="0,0"/>
                  <v:stroke on="f"/>
                  <v:imagedata r:id="rId13" croptop="8134f" cropright="17120f" cropbottom="4055f" o:title=""/>
                  <o:lock v:ext="edit" aspectratio="t"/>
                  <w10:wrap type="none"/>
                  <w10:anchorlock/>
                </v:shape>
                <o:OLEObject Type="Embed" ProgID="Visio.Drawing.11" ShapeID="_x0000_i1027" DrawAspect="Content" ObjectID="_1468075727" r:id="rId12">
                  <o:LockedField>false</o:LockedField>
                </o:OLEObject>
              </w:object>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sz w:val="21"/>
                <w:szCs w:val="21"/>
                <w:highlight w:val="green"/>
                <w:lang w:val="en-US" w:eastAsia="zh-CN"/>
              </w:rPr>
            </w:pPr>
            <w:r>
              <w:rPr>
                <w:rFonts w:hint="default" w:ascii="Times New Roman" w:hAnsi="Times New Roman" w:eastAsia="宋体" w:cs="Times New Roman"/>
                <w:color w:val="000000"/>
                <w:sz w:val="21"/>
                <w:szCs w:val="21"/>
                <w:lang w:val="en-US" w:eastAsia="zh-CN"/>
              </w:rPr>
              <w:t>图2-5  一体化污水处理站工艺流程图</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color w:val="000000"/>
                <w:sz w:val="21"/>
                <w:szCs w:val="21"/>
                <w:highlight w:val="green"/>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object>
                <v:shape id="_x0000_i1028" o:spt="75" type="#_x0000_t75" style="height:144.3pt;width:437.45pt;" o:ole="t" filled="f" o:preferrelative="t" stroked="f" coordsize="21600,21600">
                  <v:path/>
                  <v:fill on="f" focussize="0,0"/>
                  <v:stroke on="f"/>
                  <v:imagedata r:id="rId15" cropright="11810f" cropbottom="3074f" o:title=""/>
                  <o:lock v:ext="edit" aspectratio="t"/>
                  <w10:wrap type="none"/>
                  <w10:anchorlock/>
                </v:shape>
                <o:OLEObject Type="Embed" ProgID="Visio.Drawing.11" ShapeID="_x0000_i1028" DrawAspect="Content" ObjectID="_1468075728" r:id="rId14">
                  <o:LockedField>false</o:LockedField>
                </o:OLEObject>
              </w:object>
            </w:r>
            <w:r>
              <w:rPr>
                <w:rFonts w:hint="default" w:ascii="Times New Roman" w:hAnsi="Times New Roman" w:eastAsia="宋体" w:cs="Times New Roman"/>
                <w:color w:val="000000"/>
                <w:sz w:val="21"/>
                <w:szCs w:val="21"/>
                <w:lang w:val="en-US" w:eastAsia="zh-CN"/>
              </w:rPr>
              <w:t xml:space="preserve">                                 图2-6  产污节点图</w:t>
            </w:r>
          </w:p>
        </w:tc>
      </w:tr>
    </w:tbl>
    <w:p>
      <w:pPr>
        <w:rPr>
          <w:rFonts w:hint="eastAsia"/>
          <w:lang w:val="en-US" w:eastAsia="zh-CN"/>
        </w:rPr>
      </w:pPr>
    </w:p>
    <w:p>
      <w:pPr>
        <w:spacing w:after="0" w:afterLines="0" w:line="360" w:lineRule="auto"/>
        <w:rPr>
          <w:rFonts w:hint="eastAsia" w:hAnsi="Arial" w:eastAsia="仿宋_GB2312" w:cs="Times New Roman"/>
          <w:b/>
          <w:color w:val="000000"/>
          <w:sz w:val="21"/>
          <w:szCs w:val="21"/>
          <w:lang w:val="en-US" w:eastAsia="zh-CN"/>
        </w:rPr>
      </w:pPr>
      <w:r>
        <w:rPr>
          <w:rFonts w:hint="eastAsia" w:hAnsi="Arial" w:eastAsia="仿宋_GB2312" w:cs="Times New Roman"/>
          <w:b/>
          <w:color w:val="000000"/>
          <w:sz w:val="21"/>
          <w:szCs w:val="21"/>
          <w:lang w:val="en-US" w:eastAsia="zh-CN"/>
        </w:rPr>
        <w:t>表三、</w:t>
      </w:r>
      <w:r>
        <w:rPr>
          <w:rFonts w:hint="eastAsia" w:ascii="宋体" w:hAnsi="宋体" w:eastAsia="宋体" w:cs="宋体"/>
          <w:b/>
          <w:bCs/>
          <w:color w:val="000000"/>
          <w:sz w:val="21"/>
          <w:szCs w:val="21"/>
        </w:rPr>
        <w:t>主要污染源、污染物处理和排放</w:t>
      </w:r>
    </w:p>
    <w:tbl>
      <w:tblPr>
        <w:tblStyle w:val="9"/>
        <w:tblW w:w="9040" w:type="dxa"/>
        <w:tblInd w:w="-1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68" w:hRule="atLeast"/>
        </w:trPr>
        <w:tc>
          <w:tcPr>
            <w:tcW w:w="9040" w:type="dxa"/>
          </w:tcPr>
          <w:p>
            <w:pPr>
              <w:keepNext w:val="0"/>
              <w:keepLines w:val="0"/>
              <w:pageBreakBefore w:val="0"/>
              <w:widowControl w:val="0"/>
              <w:kinsoku/>
              <w:wordWrap w:val="0"/>
              <w:overflowPunct/>
              <w:topLinePunct w:val="0"/>
              <w:autoSpaceDE/>
              <w:autoSpaceDN/>
              <w:bidi w:val="0"/>
              <w:adjustRightInd w:val="0"/>
              <w:snapToGrid w:val="0"/>
              <w:spacing w:after="0" w:line="360" w:lineRule="auto"/>
              <w:ind w:left="0" w:hanging="211" w:hangingChars="100"/>
              <w:jc w:val="both"/>
              <w:textAlignment w:val="auto"/>
              <w:outlineLvl w:val="9"/>
              <w:rPr>
                <w:rFonts w:hint="eastAsia" w:ascii="宋体" w:hAnsi="宋体" w:eastAsia="宋体" w:cs="宋体"/>
                <w:color w:val="000000"/>
                <w:sz w:val="21"/>
                <w:szCs w:val="21"/>
              </w:rPr>
            </w:pPr>
            <w:r>
              <w:rPr>
                <w:rFonts w:hint="eastAsia" w:ascii="宋体" w:hAnsi="宋体" w:eastAsia="宋体" w:cs="宋体"/>
                <w:b/>
                <w:bCs/>
                <w:color w:val="000000"/>
                <w:sz w:val="21"/>
                <w:szCs w:val="21"/>
                <w:lang w:val="en-US" w:eastAsia="zh-CN"/>
              </w:rPr>
              <w:t>1、</w:t>
            </w:r>
            <w:r>
              <w:rPr>
                <w:rFonts w:hint="eastAsia" w:ascii="宋体" w:hAnsi="宋体" w:eastAsia="宋体" w:cs="宋体"/>
                <w:b/>
                <w:bCs/>
                <w:color w:val="000000"/>
                <w:sz w:val="21"/>
                <w:szCs w:val="21"/>
              </w:rPr>
              <w:t>主要污染源</w:t>
            </w:r>
            <w:r>
              <w:rPr>
                <w:rFonts w:hint="eastAsia" w:ascii="宋体" w:hAnsi="宋体" w:eastAsia="宋体" w:cs="宋体"/>
                <w:b/>
                <w:bCs/>
                <w:color w:val="000000"/>
                <w:sz w:val="21"/>
                <w:szCs w:val="21"/>
                <w:lang w:eastAsia="zh-CN"/>
              </w:rPr>
              <w:t>及治理措施</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rPr>
              <w:t>)废水</w:t>
            </w:r>
          </w:p>
          <w:p>
            <w:pPr>
              <w:keepNext w:val="0"/>
              <w:keepLines w:val="0"/>
              <w:pageBreakBefore w:val="0"/>
              <w:widowControl w:val="0"/>
              <w:kinsoku/>
              <w:overflowPunct/>
              <w:topLinePunct w:val="0"/>
              <w:autoSpaceDE/>
              <w:autoSpaceDN/>
              <w:bidi w:val="0"/>
              <w:spacing w:line="288" w:lineRule="auto"/>
              <w:ind w:left="220" w:leftChars="100" w:right="220" w:rightChars="100" w:firstLine="420" w:firstLineChars="200"/>
              <w:jc w:val="both"/>
              <w:textAlignment w:val="auto"/>
              <w:rPr>
                <w:rFonts w:hint="default" w:ascii="宋体" w:hAnsi="宋体" w:eastAsia="宋体" w:cs="宋体"/>
                <w:color w:val="000000"/>
                <w:sz w:val="21"/>
                <w:szCs w:val="21"/>
                <w:lang w:eastAsia="zh-CN"/>
              </w:rPr>
            </w:pPr>
            <w:r>
              <w:rPr>
                <w:rFonts w:hint="eastAsia" w:ascii="宋体" w:hAnsi="宋体" w:eastAsia="宋体" w:cs="宋体"/>
                <w:color w:val="000000"/>
                <w:sz w:val="21"/>
                <w:szCs w:val="21"/>
                <w:lang w:val="en-US" w:eastAsia="zh-CN"/>
              </w:rPr>
              <w:t>本项目</w:t>
            </w:r>
            <w:r>
              <w:rPr>
                <w:rFonts w:hint="default" w:ascii="宋体" w:hAnsi="宋体" w:eastAsia="宋体" w:cs="宋体"/>
                <w:color w:val="000000"/>
                <w:sz w:val="21"/>
                <w:szCs w:val="21"/>
                <w:lang w:eastAsia="zh-CN"/>
              </w:rPr>
              <w:t>污水总量为</w:t>
            </w:r>
            <w:r>
              <w:rPr>
                <w:rFonts w:hint="eastAsia" w:ascii="宋体" w:hAnsi="宋体" w:eastAsia="宋体" w:cs="宋体"/>
                <w:color w:val="000000"/>
                <w:sz w:val="21"/>
                <w:szCs w:val="21"/>
                <w:lang w:val="en-US" w:eastAsia="zh-CN"/>
              </w:rPr>
              <w:t>11.55m³</w:t>
            </w:r>
            <w:r>
              <w:rPr>
                <w:rFonts w:hint="default" w:ascii="宋体" w:hAnsi="宋体" w:eastAsia="宋体" w:cs="宋体"/>
                <w:color w:val="000000"/>
                <w:sz w:val="21"/>
                <w:szCs w:val="21"/>
                <w:lang w:eastAsia="zh-CN"/>
              </w:rPr>
              <w:t>/d</w:t>
            </w:r>
            <w:r>
              <w:rPr>
                <w:rFonts w:hint="default" w:ascii="宋体" w:hAnsi="宋体" w:eastAsia="宋体" w:cs="宋体"/>
                <w:color w:val="000000"/>
                <w:sz w:val="21"/>
                <w:szCs w:val="21"/>
                <w:lang w:val="en-US" w:eastAsia="zh-CN"/>
              </w:rPr>
              <w:t>(</w:t>
            </w:r>
            <w:r>
              <w:rPr>
                <w:rFonts w:hint="eastAsia" w:ascii="宋体" w:hAnsi="宋体" w:eastAsia="宋体" w:cs="宋体"/>
                <w:color w:val="000000"/>
                <w:sz w:val="21"/>
                <w:szCs w:val="21"/>
                <w:lang w:val="en-US" w:eastAsia="zh-CN"/>
              </w:rPr>
              <w:t>4215.75m³</w:t>
            </w:r>
            <w:r>
              <w:rPr>
                <w:rFonts w:hint="default" w:ascii="宋体" w:hAnsi="宋体" w:eastAsia="宋体" w:cs="宋体"/>
                <w:color w:val="000000"/>
                <w:sz w:val="21"/>
                <w:szCs w:val="21"/>
                <w:lang w:eastAsia="zh-CN"/>
              </w:rPr>
              <w:t>/</w:t>
            </w:r>
            <w:r>
              <w:rPr>
                <w:rFonts w:hint="default" w:ascii="宋体" w:hAnsi="宋体" w:eastAsia="宋体" w:cs="宋体"/>
                <w:color w:val="000000"/>
                <w:sz w:val="21"/>
                <w:szCs w:val="21"/>
                <w:lang w:val="en-US" w:eastAsia="zh-CN"/>
              </w:rPr>
              <w:t>a)</w:t>
            </w:r>
            <w:r>
              <w:rPr>
                <w:rFonts w:hint="default" w:ascii="宋体" w:hAnsi="宋体" w:eastAsia="宋体" w:cs="宋体"/>
                <w:color w:val="000000"/>
                <w:sz w:val="21"/>
                <w:szCs w:val="21"/>
                <w:lang w:eastAsia="zh-CN"/>
              </w:rPr>
              <w:t>。</w:t>
            </w:r>
            <w:r>
              <w:rPr>
                <w:rFonts w:hint="eastAsia" w:ascii="宋体" w:hAnsi="宋体" w:eastAsia="宋体" w:cs="宋体"/>
                <w:color w:val="000000"/>
                <w:sz w:val="21"/>
                <w:szCs w:val="21"/>
                <w:lang w:eastAsia="zh-CN"/>
              </w:rPr>
              <w:t>运营期</w:t>
            </w:r>
            <w:r>
              <w:rPr>
                <w:rFonts w:hint="default" w:ascii="宋体" w:hAnsi="宋体" w:eastAsia="宋体" w:cs="宋体"/>
                <w:color w:val="000000"/>
                <w:sz w:val="21"/>
                <w:szCs w:val="21"/>
                <w:lang w:eastAsia="zh-CN"/>
              </w:rPr>
              <w:t>主要进行预防保健和全科诊疗</w:t>
            </w:r>
            <w:r>
              <w:rPr>
                <w:rFonts w:hint="eastAsia" w:ascii="宋体" w:hAnsi="宋体" w:eastAsia="宋体" w:cs="宋体"/>
                <w:color w:val="000000"/>
                <w:sz w:val="21"/>
                <w:szCs w:val="21"/>
                <w:lang w:eastAsia="zh-CN"/>
              </w:rPr>
              <w:t>，</w:t>
            </w:r>
            <w:r>
              <w:rPr>
                <w:rFonts w:hint="default" w:ascii="宋体" w:hAnsi="宋体" w:eastAsia="宋体" w:cs="宋体"/>
                <w:color w:val="000000"/>
                <w:sz w:val="21"/>
                <w:szCs w:val="21"/>
                <w:lang w:eastAsia="zh-CN"/>
              </w:rPr>
              <w:t>污</w:t>
            </w:r>
            <w:r>
              <w:rPr>
                <w:rFonts w:hint="eastAsia" w:ascii="宋体" w:hAnsi="宋体" w:eastAsia="宋体" w:cs="宋体"/>
                <w:color w:val="000000"/>
                <w:sz w:val="21"/>
                <w:szCs w:val="21"/>
                <w:lang w:val="en-US" w:eastAsia="zh-CN"/>
              </w:rPr>
              <w:t>废</w:t>
            </w:r>
            <w:r>
              <w:rPr>
                <w:rFonts w:hint="default" w:ascii="宋体" w:hAnsi="宋体" w:eastAsia="宋体" w:cs="宋体"/>
                <w:color w:val="000000"/>
                <w:sz w:val="21"/>
                <w:szCs w:val="21"/>
                <w:lang w:eastAsia="zh-CN"/>
              </w:rPr>
              <w:t>水主要为医务人员、门诊病人及观察病人产生的</w:t>
            </w:r>
            <w:r>
              <w:rPr>
                <w:rFonts w:hint="eastAsia" w:ascii="宋体" w:hAnsi="宋体" w:eastAsia="宋体" w:cs="宋体"/>
                <w:color w:val="000000"/>
                <w:sz w:val="21"/>
                <w:szCs w:val="21"/>
                <w:lang w:val="en-US" w:eastAsia="zh-CN"/>
              </w:rPr>
              <w:t>医</w:t>
            </w:r>
            <w:r>
              <w:rPr>
                <w:rFonts w:hint="default" w:ascii="宋体" w:hAnsi="宋体" w:eastAsia="宋体" w:cs="宋体"/>
                <w:color w:val="000000"/>
                <w:sz w:val="21"/>
                <w:szCs w:val="21"/>
                <w:lang w:eastAsia="zh-CN"/>
              </w:rPr>
              <w:t>疗废水</w:t>
            </w:r>
            <w:r>
              <w:rPr>
                <w:rFonts w:hint="eastAsia" w:ascii="宋体" w:hAnsi="宋体" w:eastAsia="宋体" w:cs="宋体"/>
                <w:color w:val="000000"/>
                <w:sz w:val="21"/>
                <w:szCs w:val="21"/>
                <w:lang w:eastAsia="zh-CN"/>
              </w:rPr>
              <w:t>、</w:t>
            </w:r>
            <w:r>
              <w:rPr>
                <w:rFonts w:hint="default" w:ascii="宋体" w:hAnsi="宋体" w:eastAsia="宋体" w:cs="宋体"/>
                <w:color w:val="000000"/>
                <w:sz w:val="21"/>
                <w:szCs w:val="21"/>
                <w:lang w:eastAsia="zh-CN"/>
              </w:rPr>
              <w:t>生活污水</w:t>
            </w:r>
            <w:r>
              <w:rPr>
                <w:rFonts w:hint="eastAsia" w:ascii="宋体" w:hAnsi="宋体" w:eastAsia="宋体" w:cs="宋体"/>
                <w:color w:val="000000"/>
                <w:sz w:val="21"/>
                <w:szCs w:val="21"/>
                <w:lang w:val="en-US" w:eastAsia="zh-CN"/>
              </w:rPr>
              <w:t>和检验废水</w:t>
            </w:r>
            <w:r>
              <w:rPr>
                <w:rFonts w:hint="default"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医</w:t>
            </w:r>
            <w:r>
              <w:rPr>
                <w:rFonts w:hint="eastAsia" w:ascii="宋体" w:hAnsi="宋体" w:eastAsia="宋体" w:cs="宋体"/>
                <w:color w:val="000000"/>
                <w:sz w:val="21"/>
                <w:szCs w:val="21"/>
                <w:lang w:eastAsia="zh-CN"/>
              </w:rPr>
              <w:t>疗</w:t>
            </w:r>
            <w:r>
              <w:rPr>
                <w:rFonts w:hint="eastAsia" w:ascii="宋体" w:hAnsi="宋体" w:eastAsia="宋体" w:cs="宋体"/>
                <w:color w:val="000000"/>
                <w:sz w:val="21"/>
                <w:szCs w:val="21"/>
                <w:lang w:val="en-US" w:eastAsia="zh-CN"/>
              </w:rPr>
              <w:t>废</w:t>
            </w:r>
            <w:r>
              <w:rPr>
                <w:rFonts w:hint="eastAsia" w:ascii="宋体" w:hAnsi="宋体" w:eastAsia="宋体" w:cs="宋体"/>
                <w:color w:val="000000"/>
                <w:sz w:val="21"/>
                <w:szCs w:val="21"/>
                <w:lang w:eastAsia="zh-CN"/>
              </w:rPr>
              <w:t>水主要含SS、COD、BOD5、NH3-N、病原菌等污染物；</w:t>
            </w:r>
            <w:r>
              <w:rPr>
                <w:rFonts w:hint="eastAsia" w:ascii="宋体" w:hAnsi="宋体" w:eastAsia="宋体" w:cs="宋体"/>
                <w:color w:val="000000"/>
                <w:sz w:val="21"/>
                <w:szCs w:val="21"/>
                <w:lang w:val="en-US" w:eastAsia="zh-CN"/>
              </w:rPr>
              <w:t>生活废水主要含主要污染物为</w:t>
            </w:r>
            <w:r>
              <w:rPr>
                <w:rFonts w:hint="eastAsia" w:ascii="宋体" w:hAnsi="宋体" w:eastAsia="宋体" w:cs="宋体"/>
                <w:color w:val="000000"/>
                <w:sz w:val="21"/>
                <w:szCs w:val="21"/>
                <w:lang w:eastAsia="zh-CN"/>
              </w:rPr>
              <w:t>SS、COD、BOD5、NH3-N、</w:t>
            </w:r>
            <w:r>
              <w:rPr>
                <w:rFonts w:hint="eastAsia" w:ascii="宋体" w:hAnsi="宋体" w:eastAsia="宋体" w:cs="宋体"/>
                <w:color w:val="000000"/>
                <w:sz w:val="21"/>
                <w:szCs w:val="21"/>
                <w:lang w:val="en-US" w:eastAsia="zh-CN"/>
              </w:rPr>
              <w:t>TP</w:t>
            </w:r>
            <w:r>
              <w:rPr>
                <w:rFonts w:hint="eastAsia" w:ascii="宋体" w:hAnsi="宋体" w:eastAsia="宋体" w:cs="宋体"/>
                <w:color w:val="000000"/>
                <w:sz w:val="21"/>
                <w:szCs w:val="21"/>
                <w:lang w:eastAsia="zh-CN"/>
              </w:rPr>
              <w:t>等污染物；</w:t>
            </w:r>
            <w:r>
              <w:rPr>
                <w:rFonts w:hint="eastAsia" w:ascii="宋体" w:hAnsi="宋体" w:eastAsia="宋体" w:cs="宋体"/>
                <w:color w:val="000000"/>
                <w:sz w:val="21"/>
                <w:szCs w:val="21"/>
                <w:lang w:val="en-US" w:eastAsia="zh-CN"/>
              </w:rPr>
              <w:t>检验</w:t>
            </w:r>
            <w:r>
              <w:rPr>
                <w:rFonts w:hint="default" w:ascii="宋体" w:hAnsi="宋体" w:eastAsia="宋体" w:cs="宋体"/>
                <w:color w:val="000000"/>
                <w:sz w:val="21"/>
                <w:szCs w:val="21"/>
                <w:lang w:eastAsia="zh-CN"/>
              </w:rPr>
              <w:t>废水主要为检验、分析过程产生的酸性污水、含铬污水。</w:t>
            </w:r>
            <w:r>
              <w:rPr>
                <w:rFonts w:hint="eastAsia" w:ascii="宋体" w:hAnsi="宋体" w:eastAsia="宋体" w:cs="宋体"/>
                <w:color w:val="000000"/>
                <w:sz w:val="21"/>
                <w:szCs w:val="21"/>
                <w:lang w:val="en-US" w:eastAsia="zh-CN"/>
              </w:rPr>
              <w:t>各检</w:t>
            </w:r>
            <w:r>
              <w:rPr>
                <w:rFonts w:hint="eastAsia" w:ascii="宋体" w:hAnsi="宋体" w:eastAsia="宋体" w:cs="宋体"/>
                <w:color w:val="000000"/>
                <w:sz w:val="21"/>
                <w:szCs w:val="21"/>
              </w:rPr>
              <w:t>验室废水经分质预处理，与医疗废水、生活污水一起经化粪池截留沉淀后，经</w:t>
            </w:r>
            <w:r>
              <w:rPr>
                <w:rFonts w:hint="eastAsia" w:ascii="宋体" w:hAnsi="宋体" w:eastAsia="宋体" w:cs="宋体"/>
                <w:color w:val="000000"/>
                <w:sz w:val="21"/>
                <w:szCs w:val="21"/>
                <w:lang w:eastAsia="zh-CN"/>
              </w:rPr>
              <w:t>一体化污水处理设施</w:t>
            </w:r>
            <w:r>
              <w:rPr>
                <w:rFonts w:hint="eastAsia" w:ascii="宋体" w:hAnsi="宋体" w:eastAsia="宋体" w:cs="宋体"/>
                <w:color w:val="000000"/>
                <w:sz w:val="21"/>
                <w:szCs w:val="21"/>
              </w:rPr>
              <w:t>达到《医疗机构水污染物排放标准》(GB18466-2005)表2预处理标准</w:t>
            </w:r>
            <w:r>
              <w:rPr>
                <w:rFonts w:hint="eastAsia" w:ascii="宋体" w:hAnsi="宋体" w:eastAsia="宋体" w:cs="宋体"/>
                <w:color w:val="000000"/>
                <w:sz w:val="21"/>
                <w:szCs w:val="21"/>
                <w:lang w:eastAsia="zh-CN"/>
              </w:rPr>
              <w:t>，排入枣山路市政道路污水管网，经</w:t>
            </w:r>
            <w:r>
              <w:rPr>
                <w:rFonts w:hint="eastAsia" w:ascii="宋体" w:hAnsi="宋体" w:eastAsia="宋体" w:cs="宋体"/>
                <w:color w:val="000000"/>
                <w:sz w:val="21"/>
                <w:szCs w:val="21"/>
                <w:lang w:val="en-US" w:eastAsia="zh-CN"/>
              </w:rPr>
              <w:t>鲤鱼排水主干线市政污水管</w:t>
            </w:r>
            <w:r>
              <w:rPr>
                <w:rFonts w:hint="eastAsia" w:ascii="宋体" w:hAnsi="宋体" w:eastAsia="宋体" w:cs="宋体"/>
                <w:color w:val="000000"/>
                <w:sz w:val="21"/>
                <w:szCs w:val="21"/>
                <w:lang w:eastAsia="zh-CN"/>
              </w:rPr>
              <w:t>、市西河</w:t>
            </w:r>
            <w:r>
              <w:rPr>
                <w:rFonts w:hint="eastAsia" w:ascii="宋体" w:hAnsi="宋体" w:eastAsia="宋体" w:cs="宋体"/>
                <w:color w:val="000000"/>
                <w:sz w:val="21"/>
                <w:szCs w:val="21"/>
                <w:lang w:val="en-US" w:eastAsia="zh-CN"/>
              </w:rPr>
              <w:t>截</w:t>
            </w:r>
            <w:r>
              <w:rPr>
                <w:rFonts w:hint="eastAsia" w:ascii="宋体" w:hAnsi="宋体" w:eastAsia="宋体" w:cs="宋体"/>
                <w:color w:val="000000"/>
                <w:sz w:val="21"/>
                <w:szCs w:val="21"/>
                <w:lang w:eastAsia="zh-CN"/>
              </w:rPr>
              <w:t>污沟、南明河左岸截污沟进入新庄污水处理厂(二期)处理，</w:t>
            </w:r>
            <w:r>
              <w:rPr>
                <w:rFonts w:hint="eastAsia" w:ascii="宋体" w:hAnsi="宋体" w:eastAsia="宋体" w:cs="宋体"/>
                <w:color w:val="000000"/>
                <w:sz w:val="21"/>
                <w:szCs w:val="21"/>
                <w:lang w:val="en-US" w:eastAsia="zh-CN"/>
              </w:rPr>
              <w:t>处理水质</w:t>
            </w:r>
            <w:r>
              <w:rPr>
                <w:rFonts w:hint="eastAsia" w:ascii="宋体" w:hAnsi="宋体" w:eastAsia="宋体" w:cs="宋体"/>
                <w:color w:val="000000"/>
                <w:sz w:val="21"/>
                <w:szCs w:val="21"/>
                <w:lang w:eastAsia="zh-CN"/>
              </w:rPr>
              <w:t>达到《城镇污水处理厂污染物排放标准》(GB18918-2002)及修改单一级A标准后，排入南明河。</w:t>
            </w:r>
          </w:p>
          <w:p>
            <w:pPr>
              <w:keepNext w:val="0"/>
              <w:keepLines w:val="0"/>
              <w:pageBreakBefore w:val="0"/>
              <w:widowControl w:val="0"/>
              <w:kinsoku/>
              <w:wordWrap w:val="0"/>
              <w:overflowPunct/>
              <w:topLinePunct w:val="0"/>
              <w:autoSpaceDE/>
              <w:autoSpaceDN/>
              <w:bidi w:val="0"/>
              <w:adjustRightInd w:val="0"/>
              <w:snapToGrid w:val="0"/>
              <w:spacing w:after="100" w:line="288" w:lineRule="auto"/>
              <w:ind w:right="220" w:rightChars="100" w:firstLine="210" w:firstLineChars="100"/>
              <w:jc w:val="both"/>
              <w:textAlignment w:val="auto"/>
              <w:outlineLvl w:val="9"/>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废气</w:t>
            </w:r>
          </w:p>
          <w:p>
            <w:pPr>
              <w:keepNext w:val="0"/>
              <w:keepLines w:val="0"/>
              <w:pageBreakBefore w:val="0"/>
              <w:widowControl w:val="0"/>
              <w:kinsoku/>
              <w:wordWrap w:val="0"/>
              <w:overflowPunct/>
              <w:topLinePunct w:val="0"/>
              <w:autoSpaceDE/>
              <w:autoSpaceDN/>
              <w:bidi w:val="0"/>
              <w:spacing w:line="288" w:lineRule="auto"/>
              <w:ind w:left="220" w:leftChars="100" w:right="220" w:rightChars="100" w:firstLine="420" w:firstLineChars="200"/>
              <w:jc w:val="both"/>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本项目运营期检查室等科室将使用有机溶剂，将挥发一定量的有机废气。废气主要包括乙醇、甲醇等挥发性物质，</w:t>
            </w:r>
            <w:r>
              <w:rPr>
                <w:rFonts w:hint="eastAsia" w:ascii="宋体" w:hAnsi="宋体" w:eastAsia="宋体" w:cs="宋体"/>
                <w:color w:val="000000"/>
                <w:sz w:val="21"/>
                <w:szCs w:val="21"/>
                <w:lang w:val="en-US" w:eastAsia="zh-CN"/>
              </w:rPr>
              <w:t>不加管理会对环境空气质量产生一定的影响</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医疗危废暂存间和生活垃圾桶不及时清理，部分带有刺激性气味的医疗废物和易腐败的有机垃圾分解会发出异味，对环境的影响主要表现为恶臭。</w:t>
            </w:r>
            <w:r>
              <w:rPr>
                <w:rFonts w:hint="eastAsia" w:ascii="宋体" w:hAnsi="宋体" w:eastAsia="宋体" w:cs="宋体"/>
                <w:b w:val="0"/>
                <w:bCs w:val="0"/>
                <w:color w:val="000000"/>
                <w:sz w:val="21"/>
                <w:szCs w:val="21"/>
                <w:lang w:eastAsia="zh-CN"/>
              </w:rPr>
              <w:t>当前各检查室已设置通风橱，使用有挥发性试剂的操作均在通风橱内进行，挥发性气体经通风橱收集、抽至排风机房引至</w:t>
            </w:r>
            <w:r>
              <w:rPr>
                <w:rFonts w:hint="eastAsia" w:ascii="宋体" w:hAnsi="宋体" w:eastAsia="宋体" w:cs="宋体"/>
                <w:b w:val="0"/>
                <w:bCs w:val="0"/>
                <w:color w:val="000000"/>
                <w:sz w:val="21"/>
                <w:szCs w:val="21"/>
                <w:lang w:val="en-US" w:eastAsia="zh-CN"/>
              </w:rPr>
              <w:t>室外排放，医疗危废暂存间和生活垃圾桶日产日清。经上述措施治理后，本项目运营期废气对周围环境空气影响小。</w:t>
            </w:r>
          </w:p>
          <w:p>
            <w:pPr>
              <w:keepNext w:val="0"/>
              <w:keepLines w:val="0"/>
              <w:pageBreakBefore w:val="0"/>
              <w:widowControl w:val="0"/>
              <w:kinsoku/>
              <w:wordWrap w:val="0"/>
              <w:overflowPunct/>
              <w:topLinePunct w:val="0"/>
              <w:autoSpaceDE/>
              <w:autoSpaceDN/>
              <w:bidi w:val="0"/>
              <w:adjustRightInd w:val="0"/>
              <w:snapToGrid w:val="0"/>
              <w:spacing w:after="100" w:line="288" w:lineRule="auto"/>
              <w:ind w:right="220" w:rightChars="100" w:firstLine="210" w:firstLineChars="100"/>
              <w:jc w:val="both"/>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(3)噪声</w:t>
            </w:r>
          </w:p>
          <w:p>
            <w:pPr>
              <w:keepNext w:val="0"/>
              <w:keepLines w:val="0"/>
              <w:pageBreakBefore w:val="0"/>
              <w:widowControl w:val="0"/>
              <w:kinsoku/>
              <w:overflowPunct/>
              <w:topLinePunct w:val="0"/>
              <w:autoSpaceDE/>
              <w:autoSpaceDN/>
              <w:bidi w:val="0"/>
              <w:adjustRightInd w:val="0"/>
              <w:snapToGrid w:val="0"/>
              <w:spacing w:after="100" w:line="288" w:lineRule="auto"/>
              <w:ind w:left="220" w:leftChars="100" w:right="220" w:rightChars="100" w:firstLine="420" w:firstLineChars="200"/>
              <w:jc w:val="both"/>
              <w:textAlignment w:val="auto"/>
              <w:outlineLvl w:val="9"/>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本项目噪声源主要</w:t>
            </w:r>
            <w:r>
              <w:rPr>
                <w:rFonts w:hint="eastAsia" w:ascii="宋体" w:hAnsi="宋体" w:eastAsia="宋体" w:cs="宋体"/>
                <w:color w:val="000000"/>
                <w:sz w:val="21"/>
                <w:szCs w:val="21"/>
                <w:lang w:val="en-US" w:eastAsia="zh-CN"/>
              </w:rPr>
              <w:t>是</w:t>
            </w:r>
            <w:r>
              <w:rPr>
                <w:rFonts w:hint="eastAsia" w:ascii="宋体" w:hAnsi="宋体" w:eastAsia="宋体" w:cs="宋体"/>
                <w:color w:val="000000"/>
                <w:sz w:val="21"/>
                <w:szCs w:val="21"/>
                <w:lang w:eastAsia="zh-CN"/>
              </w:rPr>
              <w:t>设备噪声。排风机、换风机、空调机等设备噪声声功率级</w:t>
            </w:r>
            <w:r>
              <w:rPr>
                <w:rFonts w:hint="eastAsia" w:ascii="宋体" w:hAnsi="宋体" w:eastAsia="宋体" w:cs="宋体"/>
                <w:color w:val="000000"/>
                <w:sz w:val="21"/>
                <w:szCs w:val="21"/>
                <w:lang w:val="en-US" w:eastAsia="zh-CN"/>
              </w:rPr>
              <w:t>75</w:t>
            </w:r>
            <w:r>
              <w:rPr>
                <w:rFonts w:hint="default" w:ascii="宋体" w:hAnsi="宋体" w:eastAsia="宋体" w:cs="宋体"/>
                <w:color w:val="000000"/>
                <w:sz w:val="21"/>
                <w:szCs w:val="21"/>
                <w:lang w:eastAsia="zh-CN"/>
              </w:rPr>
              <w:t>dB(A)～</w:t>
            </w:r>
            <w:r>
              <w:rPr>
                <w:rFonts w:hint="eastAsia" w:ascii="宋体" w:hAnsi="宋体" w:eastAsia="宋体" w:cs="宋体"/>
                <w:color w:val="000000"/>
                <w:sz w:val="21"/>
                <w:szCs w:val="21"/>
                <w:lang w:val="en-US" w:eastAsia="zh-CN"/>
              </w:rPr>
              <w:t>85</w:t>
            </w:r>
            <w:r>
              <w:rPr>
                <w:rFonts w:hint="default" w:ascii="宋体" w:hAnsi="宋体" w:eastAsia="宋体" w:cs="宋体"/>
                <w:color w:val="000000"/>
                <w:sz w:val="21"/>
                <w:szCs w:val="21"/>
                <w:lang w:eastAsia="zh-CN"/>
              </w:rPr>
              <w:t>dB(A)</w:t>
            </w:r>
            <w:r>
              <w:rPr>
                <w:rFonts w:hint="eastAsia" w:ascii="宋体" w:hAnsi="宋体" w:eastAsia="宋体" w:cs="宋体"/>
                <w:color w:val="000000"/>
                <w:sz w:val="21"/>
                <w:szCs w:val="21"/>
                <w:lang w:eastAsia="zh-CN"/>
              </w:rPr>
              <w:t>。排风机、换风机、空调机等设备在选型上选用低噪声设备，</w:t>
            </w:r>
            <w:r>
              <w:rPr>
                <w:rFonts w:hint="eastAsia" w:ascii="宋体" w:hAnsi="宋体" w:eastAsia="宋体" w:cs="宋体"/>
                <w:color w:val="000000"/>
                <w:sz w:val="21"/>
                <w:szCs w:val="21"/>
                <w:lang w:val="en-US" w:eastAsia="zh-CN"/>
              </w:rPr>
              <w:t>对噪声大的设备采用必要的消声、吸声、隔声等降噪措施，设备产生的噪声经吸声、隔声后可以达到</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工业企业厂界环境噪声排放标准</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(GB12348-2008)2类</w:t>
            </w:r>
            <w:r>
              <w:rPr>
                <w:rFonts w:hint="eastAsia" w:ascii="宋体" w:hAnsi="宋体" w:eastAsia="宋体" w:cs="宋体"/>
                <w:color w:val="000000"/>
                <w:sz w:val="21"/>
                <w:szCs w:val="21"/>
                <w:lang w:eastAsia="zh-CN"/>
              </w:rPr>
              <w:t>。</w:t>
            </w:r>
          </w:p>
          <w:p>
            <w:pPr>
              <w:keepNext w:val="0"/>
              <w:keepLines w:val="0"/>
              <w:pageBreakBefore w:val="0"/>
              <w:widowControl w:val="0"/>
              <w:kinsoku/>
              <w:overflowPunct/>
              <w:topLinePunct w:val="0"/>
              <w:autoSpaceDE/>
              <w:autoSpaceDN/>
              <w:bidi w:val="0"/>
              <w:adjustRightInd w:val="0"/>
              <w:snapToGrid w:val="0"/>
              <w:spacing w:after="100" w:line="288" w:lineRule="auto"/>
              <w:ind w:right="220" w:rightChars="100" w:firstLine="210" w:firstLineChars="100"/>
              <w:jc w:val="both"/>
              <w:textAlignment w:val="auto"/>
              <w:outlineLvl w:val="9"/>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lang w:eastAsia="zh-CN"/>
              </w:rPr>
              <w:t>）固废</w:t>
            </w:r>
          </w:p>
          <w:p>
            <w:pPr>
              <w:keepNext w:val="0"/>
              <w:keepLines w:val="0"/>
              <w:pageBreakBefore w:val="0"/>
              <w:widowControl w:val="0"/>
              <w:kinsoku/>
              <w:overflowPunct/>
              <w:topLinePunct w:val="0"/>
              <w:autoSpaceDE/>
              <w:autoSpaceDN/>
              <w:bidi w:val="0"/>
              <w:adjustRightInd w:val="0"/>
              <w:snapToGrid w:val="0"/>
              <w:spacing w:after="100" w:line="288" w:lineRule="auto"/>
              <w:ind w:left="220" w:leftChars="100" w:right="220" w:rightChars="100" w:firstLine="420" w:firstLineChars="200"/>
              <w:jc w:val="both"/>
              <w:textAlignment w:val="auto"/>
              <w:outlineLvl w:val="9"/>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本项目运营期固体废物</w:t>
            </w:r>
            <w:r>
              <w:rPr>
                <w:rFonts w:hint="eastAsia" w:ascii="宋体" w:hAnsi="宋体" w:eastAsia="宋体" w:cs="宋体"/>
                <w:color w:val="000000"/>
                <w:sz w:val="21"/>
                <w:szCs w:val="21"/>
                <w:lang w:val="en-US" w:eastAsia="zh-CN"/>
              </w:rPr>
              <w:t>主要包括</w:t>
            </w:r>
            <w:r>
              <w:rPr>
                <w:rFonts w:hint="eastAsia" w:ascii="宋体" w:hAnsi="宋体" w:eastAsia="宋体" w:cs="宋体"/>
                <w:color w:val="000000"/>
                <w:sz w:val="21"/>
                <w:szCs w:val="21"/>
                <w:lang w:eastAsia="zh-CN"/>
              </w:rPr>
              <w:t>危险废物和一般固废。</w:t>
            </w:r>
          </w:p>
          <w:p>
            <w:pPr>
              <w:keepNext w:val="0"/>
              <w:keepLines w:val="0"/>
              <w:pageBreakBefore w:val="0"/>
              <w:widowControl w:val="0"/>
              <w:kinsoku/>
              <w:overflowPunct/>
              <w:topLinePunct w:val="0"/>
              <w:autoSpaceDE/>
              <w:autoSpaceDN/>
              <w:bidi w:val="0"/>
              <w:adjustRightInd w:val="0"/>
              <w:snapToGrid w:val="0"/>
              <w:spacing w:after="100" w:line="288" w:lineRule="auto"/>
              <w:ind w:left="220" w:leftChars="100" w:right="220" w:rightChars="100" w:firstLine="420" w:firstLineChars="200"/>
              <w:jc w:val="left"/>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lang w:eastAsia="zh-CN"/>
              </w:rPr>
              <w:t>一般固废</w:t>
            </w:r>
            <w:r>
              <w:rPr>
                <w:rFonts w:hint="eastAsia" w:ascii="宋体" w:hAnsi="宋体" w:eastAsia="宋体" w:cs="宋体"/>
                <w:color w:val="000000"/>
                <w:sz w:val="21"/>
                <w:szCs w:val="21"/>
                <w:lang w:val="en-US" w:eastAsia="zh-CN"/>
              </w:rPr>
              <w:t>包括</w:t>
            </w:r>
            <w:r>
              <w:rPr>
                <w:rFonts w:hint="eastAsia" w:ascii="宋体" w:hAnsi="宋体" w:eastAsia="宋体" w:cs="宋体"/>
                <w:color w:val="000000"/>
                <w:sz w:val="21"/>
                <w:szCs w:val="21"/>
                <w:lang w:eastAsia="zh-CN"/>
              </w:rPr>
              <w:t>门诊病人及医务人员每日产生的生活垃圾，主要污染物为废纸、废塑料袋、清扫垃圾、废包装物等废弃物；危险固体废物包括过期药品、医疗废物、化粪池污泥和一体化污水处理设施栅渣。</w:t>
            </w:r>
            <w:r>
              <w:rPr>
                <w:rFonts w:hint="eastAsia" w:ascii="宋体" w:hAnsi="宋体" w:eastAsia="宋体" w:cs="宋体"/>
                <w:color w:val="000000"/>
                <w:sz w:val="21"/>
                <w:szCs w:val="21"/>
                <w:lang w:val="en-US" w:eastAsia="zh-CN"/>
              </w:rPr>
              <w:t>危险废物名称类别代码表见表3-1。</w:t>
            </w:r>
            <w:r>
              <w:rPr>
                <w:rFonts w:hint="eastAsia" w:ascii="宋体" w:hAnsi="宋体" w:eastAsia="宋体" w:cs="宋体"/>
                <w:color w:val="000000"/>
                <w:sz w:val="21"/>
                <w:szCs w:val="21"/>
              </w:rPr>
              <w:t>国家卫生部、国家环境保护总局卫医发[2003](287号)《医疗废物分类目录》见表</w:t>
            </w:r>
            <w:r>
              <w:rPr>
                <w:rFonts w:hint="eastAsia" w:ascii="宋体" w:hAnsi="宋体" w:eastAsia="宋体" w:cs="宋体"/>
                <w:color w:val="000000"/>
                <w:sz w:val="21"/>
                <w:szCs w:val="21"/>
                <w:lang w:val="en-US" w:eastAsia="zh-CN"/>
              </w:rPr>
              <w:t>3-2</w:t>
            </w:r>
            <w:r>
              <w:rPr>
                <w:rFonts w:hint="eastAsia" w:ascii="宋体" w:hAnsi="宋体" w:eastAsia="宋体" w:cs="宋体"/>
                <w:color w:val="000000"/>
                <w:sz w:val="21"/>
                <w:szCs w:val="21"/>
              </w:rPr>
              <w:t>。</w:t>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表3-1危险废物名称类别代码</w:t>
            </w:r>
          </w:p>
          <w:tbl>
            <w:tblPr>
              <w:tblStyle w:val="9"/>
              <w:tblW w:w="8879" w:type="dxa"/>
              <w:jc w:val="center"/>
              <w:tblInd w:w="-2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8"/>
              <w:gridCol w:w="1608"/>
              <w:gridCol w:w="3223"/>
              <w:gridCol w:w="2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238" w:type="dxa"/>
                  <w:vAlign w:val="center"/>
                </w:tcPr>
                <w:p>
                  <w:pPr>
                    <w:widowControl w:val="0"/>
                    <w:jc w:val="center"/>
                    <w:rPr>
                      <w:rFonts w:hint="eastAsia" w:ascii="宋体" w:hAnsi="宋体" w:eastAsia="宋体" w:cs="宋体"/>
                      <w:color w:val="000000"/>
                      <w:sz w:val="21"/>
                      <w:szCs w:val="21"/>
                      <w:vertAlign w:val="baseline"/>
                      <w:lang w:val="en-US" w:eastAsia="zh-CN"/>
                    </w:rPr>
                  </w:pPr>
                  <w:r>
                    <w:rPr>
                      <w:rFonts w:hint="eastAsia" w:ascii="宋体" w:hAnsi="宋体" w:eastAsia="宋体" w:cs="宋体"/>
                      <w:color w:val="000000"/>
                      <w:kern w:val="0"/>
                      <w:sz w:val="21"/>
                      <w:szCs w:val="21"/>
                      <w:lang w:val="en-US" w:eastAsia="zh-CN"/>
                    </w:rPr>
                    <w:t>代码</w:t>
                  </w:r>
                </w:p>
              </w:tc>
              <w:tc>
                <w:tcPr>
                  <w:tcW w:w="1608" w:type="dxa"/>
                  <w:vAlign w:val="center"/>
                </w:tcPr>
                <w:p>
                  <w:pPr>
                    <w:widowControl w:val="0"/>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废物类别</w:t>
                  </w:r>
                </w:p>
              </w:tc>
              <w:tc>
                <w:tcPr>
                  <w:tcW w:w="3223" w:type="dxa"/>
                  <w:vAlign w:val="center"/>
                </w:tcPr>
                <w:p>
                  <w:pPr>
                    <w:widowControl w:val="0"/>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废物来源</w:t>
                  </w:r>
                </w:p>
              </w:tc>
              <w:tc>
                <w:tcPr>
                  <w:tcW w:w="2810" w:type="dxa"/>
                  <w:vAlign w:val="center"/>
                </w:tcPr>
                <w:p>
                  <w:pPr>
                    <w:widowControl w:val="0"/>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常见危害组分或废物名称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238" w:type="dxa"/>
                  <w:vAlign w:val="center"/>
                </w:tcPr>
                <w:p>
                  <w:pPr>
                    <w:keepNext w:val="0"/>
                    <w:keepLines w:val="0"/>
                    <w:pageBreakBefore w:val="0"/>
                    <w:widowControl w:val="0"/>
                    <w:kinsoku/>
                    <w:wordWrap/>
                    <w:overflowPunct/>
                    <w:topLinePunct w:val="0"/>
                    <w:autoSpaceDE/>
                    <w:autoSpaceDN/>
                    <w:bidi w:val="0"/>
                    <w:adjustRightInd w:val="0"/>
                    <w:snapToGrid w:val="0"/>
                    <w:spacing w:after="100"/>
                    <w:jc w:val="center"/>
                    <w:textAlignment w:val="auto"/>
                    <w:outlineLvl w:val="9"/>
                    <w:rPr>
                      <w:rFonts w:hint="eastAsia" w:ascii="宋体" w:hAnsi="宋体" w:eastAsia="宋体" w:cs="宋体"/>
                      <w:color w:val="000000"/>
                      <w:sz w:val="21"/>
                      <w:szCs w:val="21"/>
                      <w:vertAlign w:val="baseline"/>
                    </w:rPr>
                  </w:pPr>
                  <w:r>
                    <w:rPr>
                      <w:rFonts w:hint="eastAsia" w:ascii="宋体" w:hAnsi="宋体" w:eastAsia="宋体" w:cs="宋体"/>
                      <w:color w:val="000000"/>
                      <w:sz w:val="21"/>
                      <w:szCs w:val="21"/>
                      <w:vertAlign w:val="baseline"/>
                    </w:rPr>
                    <w:t>HW01</w:t>
                  </w:r>
                </w:p>
              </w:tc>
              <w:tc>
                <w:tcPr>
                  <w:tcW w:w="1608" w:type="dxa"/>
                  <w:vAlign w:val="center"/>
                </w:tcPr>
                <w:p>
                  <w:pPr>
                    <w:keepNext w:val="0"/>
                    <w:keepLines w:val="0"/>
                    <w:pageBreakBefore w:val="0"/>
                    <w:widowControl w:val="0"/>
                    <w:kinsoku/>
                    <w:wordWrap/>
                    <w:overflowPunct/>
                    <w:topLinePunct w:val="0"/>
                    <w:autoSpaceDE/>
                    <w:autoSpaceDN/>
                    <w:bidi w:val="0"/>
                    <w:adjustRightInd w:val="0"/>
                    <w:snapToGrid w:val="0"/>
                    <w:spacing w:after="100"/>
                    <w:jc w:val="center"/>
                    <w:textAlignment w:val="auto"/>
                    <w:outlineLvl w:val="9"/>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医院临床废物</w:t>
                  </w:r>
                </w:p>
              </w:tc>
              <w:tc>
                <w:tcPr>
                  <w:tcW w:w="3223" w:type="dxa"/>
                  <w:vAlign w:val="center"/>
                </w:tcPr>
                <w:p>
                  <w:pPr>
                    <w:keepNext w:val="0"/>
                    <w:keepLines w:val="0"/>
                    <w:pageBreakBefore w:val="0"/>
                    <w:widowControl w:val="0"/>
                    <w:kinsoku/>
                    <w:wordWrap/>
                    <w:overflowPunct/>
                    <w:topLinePunct w:val="0"/>
                    <w:autoSpaceDE/>
                    <w:autoSpaceDN/>
                    <w:bidi w:val="0"/>
                    <w:adjustRightInd w:val="0"/>
                    <w:snapToGrid w:val="0"/>
                    <w:spacing w:after="100"/>
                    <w:jc w:val="left"/>
                    <w:textAlignment w:val="auto"/>
                    <w:outlineLvl w:val="9"/>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从医院、医疗中心和诊所的医疗服务中产生的临床废物</w:t>
                  </w:r>
                </w:p>
                <w:p>
                  <w:pPr>
                    <w:keepNext w:val="0"/>
                    <w:keepLines w:val="0"/>
                    <w:pageBreakBefore w:val="0"/>
                    <w:widowControl w:val="0"/>
                    <w:kinsoku/>
                    <w:wordWrap/>
                    <w:overflowPunct/>
                    <w:topLinePunct w:val="0"/>
                    <w:autoSpaceDE/>
                    <w:autoSpaceDN/>
                    <w:bidi w:val="0"/>
                    <w:adjustRightInd w:val="0"/>
                    <w:snapToGrid w:val="0"/>
                    <w:spacing w:after="100"/>
                    <w:jc w:val="both"/>
                    <w:textAlignment w:val="auto"/>
                    <w:outlineLvl w:val="9"/>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——手术、包扎残余物</w:t>
                  </w:r>
                </w:p>
                <w:p>
                  <w:pPr>
                    <w:keepNext w:val="0"/>
                    <w:keepLines w:val="0"/>
                    <w:pageBreakBefore w:val="0"/>
                    <w:widowControl w:val="0"/>
                    <w:kinsoku/>
                    <w:wordWrap/>
                    <w:overflowPunct/>
                    <w:topLinePunct w:val="0"/>
                    <w:autoSpaceDE/>
                    <w:autoSpaceDN/>
                    <w:bidi w:val="0"/>
                    <w:adjustRightInd w:val="0"/>
                    <w:snapToGrid w:val="0"/>
                    <w:spacing w:after="100"/>
                    <w:jc w:val="both"/>
                    <w:textAlignment w:val="auto"/>
                    <w:outlineLvl w:val="9"/>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——生物培养、动物试验残余物</w:t>
                  </w:r>
                </w:p>
                <w:p>
                  <w:pPr>
                    <w:keepNext w:val="0"/>
                    <w:keepLines w:val="0"/>
                    <w:pageBreakBefore w:val="0"/>
                    <w:widowControl w:val="0"/>
                    <w:kinsoku/>
                    <w:wordWrap/>
                    <w:overflowPunct/>
                    <w:topLinePunct w:val="0"/>
                    <w:autoSpaceDE/>
                    <w:autoSpaceDN/>
                    <w:bidi w:val="0"/>
                    <w:adjustRightInd w:val="0"/>
                    <w:snapToGrid w:val="0"/>
                    <w:spacing w:after="100"/>
                    <w:jc w:val="both"/>
                    <w:textAlignment w:val="auto"/>
                    <w:outlineLvl w:val="9"/>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 xml:space="preserve">——化验检查残余物 </w:t>
                  </w:r>
                </w:p>
                <w:p>
                  <w:pPr>
                    <w:keepNext w:val="0"/>
                    <w:keepLines w:val="0"/>
                    <w:pageBreakBefore w:val="0"/>
                    <w:widowControl w:val="0"/>
                    <w:kinsoku/>
                    <w:wordWrap/>
                    <w:overflowPunct/>
                    <w:topLinePunct w:val="0"/>
                    <w:autoSpaceDE/>
                    <w:autoSpaceDN/>
                    <w:bidi w:val="0"/>
                    <w:adjustRightInd w:val="0"/>
                    <w:snapToGrid w:val="0"/>
                    <w:spacing w:after="100"/>
                    <w:jc w:val="both"/>
                    <w:textAlignment w:val="auto"/>
                    <w:outlineLvl w:val="9"/>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——传染性废物</w:t>
                  </w:r>
                </w:p>
                <w:p>
                  <w:pPr>
                    <w:keepNext w:val="0"/>
                    <w:keepLines w:val="0"/>
                    <w:pageBreakBefore w:val="0"/>
                    <w:widowControl w:val="0"/>
                    <w:kinsoku/>
                    <w:wordWrap/>
                    <w:overflowPunct/>
                    <w:topLinePunct w:val="0"/>
                    <w:autoSpaceDE/>
                    <w:autoSpaceDN/>
                    <w:bidi w:val="0"/>
                    <w:adjustRightInd w:val="0"/>
                    <w:snapToGrid w:val="0"/>
                    <w:spacing w:after="100"/>
                    <w:jc w:val="both"/>
                    <w:textAlignment w:val="auto"/>
                    <w:outlineLvl w:val="9"/>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——废水处理污泥</w:t>
                  </w:r>
                </w:p>
              </w:tc>
              <w:tc>
                <w:tcPr>
                  <w:tcW w:w="2810" w:type="dxa"/>
                  <w:vAlign w:val="center"/>
                </w:tcPr>
                <w:p>
                  <w:pPr>
                    <w:keepNext w:val="0"/>
                    <w:keepLines w:val="0"/>
                    <w:pageBreakBefore w:val="0"/>
                    <w:widowControl w:val="0"/>
                    <w:kinsoku/>
                    <w:wordWrap/>
                    <w:overflowPunct/>
                    <w:topLinePunct w:val="0"/>
                    <w:autoSpaceDE/>
                    <w:autoSpaceDN/>
                    <w:bidi w:val="0"/>
                    <w:adjustRightInd w:val="0"/>
                    <w:snapToGrid w:val="0"/>
                    <w:spacing w:after="100"/>
                    <w:jc w:val="center"/>
                    <w:textAlignment w:val="auto"/>
                    <w:outlineLvl w:val="9"/>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手术残物，敷料、</w:t>
                  </w:r>
                </w:p>
                <w:p>
                  <w:pPr>
                    <w:keepNext w:val="0"/>
                    <w:keepLines w:val="0"/>
                    <w:pageBreakBefore w:val="0"/>
                    <w:widowControl w:val="0"/>
                    <w:kinsoku/>
                    <w:wordWrap/>
                    <w:overflowPunct/>
                    <w:topLinePunct w:val="0"/>
                    <w:autoSpaceDE/>
                    <w:autoSpaceDN/>
                    <w:bidi w:val="0"/>
                    <w:adjustRightInd w:val="0"/>
                    <w:snapToGrid w:val="0"/>
                    <w:spacing w:after="100"/>
                    <w:jc w:val="center"/>
                    <w:textAlignment w:val="auto"/>
                    <w:outlineLvl w:val="9"/>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化验废物，</w:t>
                  </w:r>
                </w:p>
                <w:p>
                  <w:pPr>
                    <w:keepNext w:val="0"/>
                    <w:keepLines w:val="0"/>
                    <w:pageBreakBefore w:val="0"/>
                    <w:widowControl w:val="0"/>
                    <w:kinsoku/>
                    <w:wordWrap/>
                    <w:overflowPunct/>
                    <w:topLinePunct w:val="0"/>
                    <w:autoSpaceDE/>
                    <w:autoSpaceDN/>
                    <w:bidi w:val="0"/>
                    <w:adjustRightInd w:val="0"/>
                    <w:snapToGrid w:val="0"/>
                    <w:spacing w:after="100"/>
                    <w:jc w:val="center"/>
                    <w:textAlignment w:val="auto"/>
                    <w:outlineLvl w:val="9"/>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传染性废物，</w:t>
                  </w:r>
                </w:p>
                <w:p>
                  <w:pPr>
                    <w:keepNext w:val="0"/>
                    <w:keepLines w:val="0"/>
                    <w:pageBreakBefore w:val="0"/>
                    <w:widowControl w:val="0"/>
                    <w:kinsoku/>
                    <w:wordWrap/>
                    <w:overflowPunct/>
                    <w:topLinePunct w:val="0"/>
                    <w:autoSpaceDE/>
                    <w:autoSpaceDN/>
                    <w:bidi w:val="0"/>
                    <w:adjustRightInd w:val="0"/>
                    <w:snapToGrid w:val="0"/>
                    <w:spacing w:after="100"/>
                    <w:jc w:val="center"/>
                    <w:textAlignment w:val="auto"/>
                    <w:outlineLvl w:val="9"/>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动物试验废物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238" w:type="dxa"/>
                  <w:vAlign w:val="center"/>
                </w:tcPr>
                <w:p>
                  <w:pPr>
                    <w:keepNext w:val="0"/>
                    <w:keepLines w:val="0"/>
                    <w:pageBreakBefore w:val="0"/>
                    <w:widowControl w:val="0"/>
                    <w:kinsoku/>
                    <w:wordWrap/>
                    <w:overflowPunct/>
                    <w:topLinePunct w:val="0"/>
                    <w:autoSpaceDE/>
                    <w:autoSpaceDN/>
                    <w:bidi w:val="0"/>
                    <w:adjustRightInd w:val="0"/>
                    <w:snapToGrid w:val="0"/>
                    <w:spacing w:after="100"/>
                    <w:jc w:val="center"/>
                    <w:textAlignment w:val="auto"/>
                    <w:outlineLvl w:val="9"/>
                    <w:rPr>
                      <w:rFonts w:hint="eastAsia" w:ascii="宋体" w:hAnsi="宋体" w:eastAsia="宋体" w:cs="宋体"/>
                      <w:color w:val="000000"/>
                      <w:sz w:val="21"/>
                      <w:szCs w:val="21"/>
                      <w:vertAlign w:val="baseline"/>
                    </w:rPr>
                  </w:pPr>
                  <w:r>
                    <w:rPr>
                      <w:rFonts w:hint="eastAsia" w:ascii="宋体" w:hAnsi="宋体" w:eastAsia="宋体" w:cs="宋体"/>
                      <w:color w:val="000000"/>
                      <w:sz w:val="21"/>
                      <w:szCs w:val="21"/>
                      <w:vertAlign w:val="baseline"/>
                    </w:rPr>
                    <w:t>HW0</w:t>
                  </w:r>
                  <w:r>
                    <w:rPr>
                      <w:rFonts w:hint="eastAsia" w:ascii="宋体" w:hAnsi="宋体" w:eastAsia="宋体" w:cs="宋体"/>
                      <w:color w:val="000000"/>
                      <w:sz w:val="21"/>
                      <w:szCs w:val="21"/>
                      <w:vertAlign w:val="baseline"/>
                      <w:lang w:val="en-US" w:eastAsia="zh-CN"/>
                    </w:rPr>
                    <w:t>2</w:t>
                  </w:r>
                </w:p>
              </w:tc>
              <w:tc>
                <w:tcPr>
                  <w:tcW w:w="1608" w:type="dxa"/>
                  <w:vAlign w:val="center"/>
                </w:tcPr>
                <w:p>
                  <w:pPr>
                    <w:keepNext w:val="0"/>
                    <w:keepLines w:val="0"/>
                    <w:pageBreakBefore w:val="0"/>
                    <w:widowControl w:val="0"/>
                    <w:kinsoku/>
                    <w:wordWrap/>
                    <w:overflowPunct/>
                    <w:topLinePunct w:val="0"/>
                    <w:autoSpaceDE/>
                    <w:autoSpaceDN/>
                    <w:bidi w:val="0"/>
                    <w:adjustRightInd w:val="0"/>
                    <w:snapToGrid w:val="0"/>
                    <w:spacing w:after="100"/>
                    <w:jc w:val="center"/>
                    <w:textAlignment w:val="auto"/>
                    <w:outlineLvl w:val="9"/>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医药废物</w:t>
                  </w:r>
                </w:p>
              </w:tc>
              <w:tc>
                <w:tcPr>
                  <w:tcW w:w="3223" w:type="dxa"/>
                  <w:vAlign w:val="center"/>
                </w:tcPr>
                <w:p>
                  <w:pPr>
                    <w:keepNext w:val="0"/>
                    <w:keepLines w:val="0"/>
                    <w:pageBreakBefore w:val="0"/>
                    <w:widowControl w:val="0"/>
                    <w:kinsoku/>
                    <w:wordWrap/>
                    <w:overflowPunct/>
                    <w:topLinePunct w:val="0"/>
                    <w:autoSpaceDE/>
                    <w:autoSpaceDN/>
                    <w:bidi w:val="0"/>
                    <w:adjustRightInd w:val="0"/>
                    <w:snapToGrid w:val="0"/>
                    <w:spacing w:after="100"/>
                    <w:jc w:val="left"/>
                    <w:textAlignment w:val="auto"/>
                    <w:outlineLvl w:val="9"/>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从医用药品的生产制作过程中产生的废物，包括兽药产品(不含中药类废物)</w:t>
                  </w:r>
                </w:p>
                <w:p>
                  <w:pPr>
                    <w:keepNext w:val="0"/>
                    <w:keepLines w:val="0"/>
                    <w:pageBreakBefore w:val="0"/>
                    <w:widowControl w:val="0"/>
                    <w:kinsoku/>
                    <w:wordWrap/>
                    <w:overflowPunct/>
                    <w:topLinePunct w:val="0"/>
                    <w:autoSpaceDE/>
                    <w:autoSpaceDN/>
                    <w:bidi w:val="0"/>
                    <w:adjustRightInd w:val="0"/>
                    <w:snapToGrid w:val="0"/>
                    <w:spacing w:after="100"/>
                    <w:jc w:val="both"/>
                    <w:textAlignment w:val="auto"/>
                    <w:outlineLvl w:val="9"/>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 xml:space="preserve">——蒸馏及反应残余物 </w:t>
                  </w:r>
                </w:p>
                <w:p>
                  <w:pPr>
                    <w:keepNext w:val="0"/>
                    <w:keepLines w:val="0"/>
                    <w:pageBreakBefore w:val="0"/>
                    <w:widowControl w:val="0"/>
                    <w:kinsoku/>
                    <w:wordWrap/>
                    <w:overflowPunct/>
                    <w:topLinePunct w:val="0"/>
                    <w:autoSpaceDE/>
                    <w:autoSpaceDN/>
                    <w:bidi w:val="0"/>
                    <w:adjustRightInd w:val="0"/>
                    <w:snapToGrid w:val="0"/>
                    <w:spacing w:after="100"/>
                    <w:jc w:val="both"/>
                    <w:textAlignment w:val="auto"/>
                    <w:outlineLvl w:val="9"/>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 xml:space="preserve">——高浓度母液及反应基或培养基废物 </w:t>
                  </w:r>
                </w:p>
                <w:p>
                  <w:pPr>
                    <w:keepNext w:val="0"/>
                    <w:keepLines w:val="0"/>
                    <w:pageBreakBefore w:val="0"/>
                    <w:widowControl w:val="0"/>
                    <w:kinsoku/>
                    <w:wordWrap/>
                    <w:overflowPunct/>
                    <w:topLinePunct w:val="0"/>
                    <w:autoSpaceDE/>
                    <w:autoSpaceDN/>
                    <w:bidi w:val="0"/>
                    <w:adjustRightInd w:val="0"/>
                    <w:snapToGrid w:val="0"/>
                    <w:spacing w:after="100"/>
                    <w:jc w:val="both"/>
                    <w:textAlignment w:val="auto"/>
                    <w:outlineLvl w:val="9"/>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 xml:space="preserve">——脱色过滤(包括载体)物 </w:t>
                  </w:r>
                </w:p>
                <w:p>
                  <w:pPr>
                    <w:keepNext w:val="0"/>
                    <w:keepLines w:val="0"/>
                    <w:pageBreakBefore w:val="0"/>
                    <w:widowControl w:val="0"/>
                    <w:kinsoku/>
                    <w:wordWrap/>
                    <w:overflowPunct/>
                    <w:topLinePunct w:val="0"/>
                    <w:autoSpaceDE/>
                    <w:autoSpaceDN/>
                    <w:bidi w:val="0"/>
                    <w:adjustRightInd w:val="0"/>
                    <w:snapToGrid w:val="0"/>
                    <w:spacing w:after="100"/>
                    <w:jc w:val="left"/>
                    <w:textAlignment w:val="auto"/>
                    <w:outlineLvl w:val="9"/>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 xml:space="preserve">——用过废弃的吸附剂、催化剂、溶剂 </w:t>
                  </w:r>
                </w:p>
                <w:p>
                  <w:pPr>
                    <w:keepNext w:val="0"/>
                    <w:keepLines w:val="0"/>
                    <w:pageBreakBefore w:val="0"/>
                    <w:widowControl w:val="0"/>
                    <w:kinsoku/>
                    <w:wordWrap/>
                    <w:overflowPunct/>
                    <w:topLinePunct w:val="0"/>
                    <w:autoSpaceDE/>
                    <w:autoSpaceDN/>
                    <w:bidi w:val="0"/>
                    <w:adjustRightInd w:val="0"/>
                    <w:snapToGrid w:val="0"/>
                    <w:spacing w:after="100"/>
                    <w:jc w:val="both"/>
                    <w:textAlignment w:val="auto"/>
                    <w:outlineLvl w:val="9"/>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——生产中产生的报废药品及过期原料</w:t>
                  </w:r>
                </w:p>
              </w:tc>
              <w:tc>
                <w:tcPr>
                  <w:tcW w:w="2810" w:type="dxa"/>
                  <w:vAlign w:val="center"/>
                </w:tcPr>
                <w:p>
                  <w:pPr>
                    <w:keepNext w:val="0"/>
                    <w:keepLines w:val="0"/>
                    <w:pageBreakBefore w:val="0"/>
                    <w:widowControl w:val="0"/>
                    <w:kinsoku/>
                    <w:wordWrap/>
                    <w:overflowPunct/>
                    <w:topLinePunct w:val="0"/>
                    <w:autoSpaceDE/>
                    <w:autoSpaceDN/>
                    <w:bidi w:val="0"/>
                    <w:adjustRightInd w:val="0"/>
                    <w:snapToGrid w:val="0"/>
                    <w:spacing w:after="100"/>
                    <w:jc w:val="center"/>
                    <w:textAlignment w:val="auto"/>
                    <w:outlineLvl w:val="9"/>
                    <w:rPr>
                      <w:rFonts w:hint="eastAsia" w:ascii="宋体" w:hAnsi="宋体" w:eastAsia="宋体" w:cs="宋体"/>
                      <w:color w:val="000000"/>
                      <w:kern w:val="0"/>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after="100"/>
                    <w:jc w:val="center"/>
                    <w:textAlignment w:val="auto"/>
                    <w:outlineLvl w:val="9"/>
                    <w:rPr>
                      <w:rFonts w:hint="eastAsia" w:ascii="宋体" w:hAnsi="宋体" w:eastAsia="宋体" w:cs="宋体"/>
                      <w:color w:val="000000"/>
                      <w:kern w:val="0"/>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after="100"/>
                    <w:jc w:val="left"/>
                    <w:textAlignment w:val="auto"/>
                    <w:outlineLvl w:val="9"/>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废抗菌药、甾类药、抗组织胺类药、镇痛药、心血管药、神经系统药、杂药，基因类废物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1" w:hRule="atLeast"/>
                <w:jc w:val="center"/>
              </w:trPr>
              <w:tc>
                <w:tcPr>
                  <w:tcW w:w="1238" w:type="dxa"/>
                  <w:vAlign w:val="center"/>
                </w:tcPr>
                <w:p>
                  <w:pPr>
                    <w:keepNext w:val="0"/>
                    <w:keepLines w:val="0"/>
                    <w:pageBreakBefore w:val="0"/>
                    <w:widowControl w:val="0"/>
                    <w:kinsoku/>
                    <w:wordWrap/>
                    <w:overflowPunct/>
                    <w:topLinePunct w:val="0"/>
                    <w:autoSpaceDE/>
                    <w:autoSpaceDN/>
                    <w:bidi w:val="0"/>
                    <w:adjustRightInd w:val="0"/>
                    <w:snapToGrid w:val="0"/>
                    <w:spacing w:after="100"/>
                    <w:jc w:val="center"/>
                    <w:textAlignment w:val="auto"/>
                    <w:outlineLvl w:val="9"/>
                    <w:rPr>
                      <w:rFonts w:hint="eastAsia" w:ascii="宋体" w:hAnsi="宋体" w:eastAsia="宋体" w:cs="宋体"/>
                      <w:color w:val="000000"/>
                      <w:sz w:val="21"/>
                      <w:szCs w:val="21"/>
                      <w:vertAlign w:val="baseline"/>
                    </w:rPr>
                  </w:pPr>
                  <w:r>
                    <w:rPr>
                      <w:rFonts w:hint="eastAsia" w:ascii="宋体" w:hAnsi="宋体" w:eastAsia="宋体" w:cs="宋体"/>
                      <w:color w:val="000000"/>
                      <w:sz w:val="21"/>
                      <w:szCs w:val="21"/>
                      <w:vertAlign w:val="baseline"/>
                    </w:rPr>
                    <w:t>HW0</w:t>
                  </w:r>
                  <w:r>
                    <w:rPr>
                      <w:rFonts w:hint="eastAsia" w:ascii="宋体" w:hAnsi="宋体" w:eastAsia="宋体" w:cs="宋体"/>
                      <w:color w:val="000000"/>
                      <w:sz w:val="21"/>
                      <w:szCs w:val="21"/>
                      <w:vertAlign w:val="baseline"/>
                      <w:lang w:val="en-US" w:eastAsia="zh-CN"/>
                    </w:rPr>
                    <w:t>3</w:t>
                  </w:r>
                </w:p>
              </w:tc>
              <w:tc>
                <w:tcPr>
                  <w:tcW w:w="1608" w:type="dxa"/>
                  <w:vAlign w:val="center"/>
                </w:tcPr>
                <w:p>
                  <w:pPr>
                    <w:keepNext w:val="0"/>
                    <w:keepLines w:val="0"/>
                    <w:pageBreakBefore w:val="0"/>
                    <w:widowControl w:val="0"/>
                    <w:kinsoku/>
                    <w:wordWrap/>
                    <w:overflowPunct/>
                    <w:topLinePunct w:val="0"/>
                    <w:autoSpaceDE/>
                    <w:autoSpaceDN/>
                    <w:bidi w:val="0"/>
                    <w:adjustRightInd w:val="0"/>
                    <w:snapToGrid w:val="0"/>
                    <w:spacing w:after="100"/>
                    <w:jc w:val="center"/>
                    <w:textAlignment w:val="auto"/>
                    <w:outlineLvl w:val="9"/>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废药物、药品</w:t>
                  </w:r>
                </w:p>
              </w:tc>
              <w:tc>
                <w:tcPr>
                  <w:tcW w:w="3223" w:type="dxa"/>
                  <w:vAlign w:val="center"/>
                </w:tcPr>
                <w:p>
                  <w:pPr>
                    <w:keepNext w:val="0"/>
                    <w:keepLines w:val="0"/>
                    <w:pageBreakBefore w:val="0"/>
                    <w:widowControl w:val="0"/>
                    <w:kinsoku/>
                    <w:wordWrap/>
                    <w:overflowPunct/>
                    <w:topLinePunct w:val="0"/>
                    <w:autoSpaceDE/>
                    <w:autoSpaceDN/>
                    <w:bidi w:val="0"/>
                    <w:adjustRightInd w:val="0"/>
                    <w:snapToGrid w:val="0"/>
                    <w:spacing w:after="100"/>
                    <w:jc w:val="center"/>
                    <w:textAlignment w:val="auto"/>
                    <w:outlineLvl w:val="9"/>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过期、报废的无标签的及多种混杂的药物、药品(不包括HW01，HW02类中的废药品)</w:t>
                  </w:r>
                </w:p>
                <w:p>
                  <w:pPr>
                    <w:keepNext w:val="0"/>
                    <w:keepLines w:val="0"/>
                    <w:pageBreakBefore w:val="0"/>
                    <w:widowControl w:val="0"/>
                    <w:kinsoku/>
                    <w:wordWrap/>
                    <w:overflowPunct/>
                    <w:topLinePunct w:val="0"/>
                    <w:autoSpaceDE/>
                    <w:autoSpaceDN/>
                    <w:bidi w:val="0"/>
                    <w:adjustRightInd w:val="0"/>
                    <w:snapToGrid w:val="0"/>
                    <w:spacing w:after="100"/>
                    <w:jc w:val="center"/>
                    <w:textAlignment w:val="auto"/>
                    <w:outlineLvl w:val="9"/>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——生产中产生的报废药品(包括药品废原料和中间体反应物)</w:t>
                  </w:r>
                </w:p>
                <w:p>
                  <w:pPr>
                    <w:keepNext w:val="0"/>
                    <w:keepLines w:val="0"/>
                    <w:pageBreakBefore w:val="0"/>
                    <w:widowControl w:val="0"/>
                    <w:kinsoku/>
                    <w:wordWrap/>
                    <w:overflowPunct/>
                    <w:topLinePunct w:val="0"/>
                    <w:autoSpaceDE/>
                    <w:autoSpaceDN/>
                    <w:bidi w:val="0"/>
                    <w:adjustRightInd w:val="0"/>
                    <w:snapToGrid w:val="0"/>
                    <w:spacing w:after="100"/>
                    <w:jc w:val="center"/>
                    <w:textAlignment w:val="auto"/>
                    <w:outlineLvl w:val="9"/>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——使用单位(科研、监测、学校、医疗 单位、化验室等)积压或报废的药品(物)</w:t>
                  </w:r>
                </w:p>
                <w:p>
                  <w:pPr>
                    <w:keepNext w:val="0"/>
                    <w:keepLines w:val="0"/>
                    <w:pageBreakBefore w:val="0"/>
                    <w:widowControl w:val="0"/>
                    <w:kinsoku/>
                    <w:wordWrap/>
                    <w:overflowPunct/>
                    <w:topLinePunct w:val="0"/>
                    <w:autoSpaceDE/>
                    <w:autoSpaceDN/>
                    <w:bidi w:val="0"/>
                    <w:adjustRightInd w:val="0"/>
                    <w:snapToGrid w:val="0"/>
                    <w:spacing w:after="100"/>
                    <w:jc w:val="center"/>
                    <w:textAlignment w:val="auto"/>
                    <w:outlineLvl w:val="9"/>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——经营部门过期的报废药品(物)</w:t>
                  </w:r>
                </w:p>
              </w:tc>
              <w:tc>
                <w:tcPr>
                  <w:tcW w:w="2810" w:type="dxa"/>
                  <w:vAlign w:val="center"/>
                </w:tcPr>
                <w:p>
                  <w:pPr>
                    <w:keepNext w:val="0"/>
                    <w:keepLines w:val="0"/>
                    <w:pageBreakBefore w:val="0"/>
                    <w:widowControl w:val="0"/>
                    <w:kinsoku/>
                    <w:wordWrap/>
                    <w:overflowPunct/>
                    <w:topLinePunct w:val="0"/>
                    <w:autoSpaceDE/>
                    <w:autoSpaceDN/>
                    <w:bidi w:val="0"/>
                    <w:adjustRightInd w:val="0"/>
                    <w:snapToGrid w:val="0"/>
                    <w:spacing w:after="100"/>
                    <w:jc w:val="center"/>
                    <w:textAlignment w:val="auto"/>
                    <w:outlineLvl w:val="9"/>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废化学试剂</w:t>
                  </w:r>
                </w:p>
                <w:p>
                  <w:pPr>
                    <w:keepNext w:val="0"/>
                    <w:keepLines w:val="0"/>
                    <w:pageBreakBefore w:val="0"/>
                    <w:widowControl w:val="0"/>
                    <w:kinsoku/>
                    <w:wordWrap/>
                    <w:overflowPunct/>
                    <w:topLinePunct w:val="0"/>
                    <w:autoSpaceDE/>
                    <w:autoSpaceDN/>
                    <w:bidi w:val="0"/>
                    <w:adjustRightInd w:val="0"/>
                    <w:snapToGrid w:val="0"/>
                    <w:spacing w:after="100"/>
                    <w:jc w:val="center"/>
                    <w:textAlignment w:val="auto"/>
                    <w:outlineLvl w:val="9"/>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废药品</w:t>
                  </w:r>
                </w:p>
                <w:p>
                  <w:pPr>
                    <w:keepNext w:val="0"/>
                    <w:keepLines w:val="0"/>
                    <w:pageBreakBefore w:val="0"/>
                    <w:widowControl w:val="0"/>
                    <w:kinsoku/>
                    <w:wordWrap/>
                    <w:overflowPunct/>
                    <w:topLinePunct w:val="0"/>
                    <w:autoSpaceDE/>
                    <w:autoSpaceDN/>
                    <w:bidi w:val="0"/>
                    <w:adjustRightInd w:val="0"/>
                    <w:snapToGrid w:val="0"/>
                    <w:spacing w:after="100"/>
                    <w:jc w:val="center"/>
                    <w:textAlignment w:val="auto"/>
                    <w:outlineLvl w:val="9"/>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废药物</w:t>
                  </w:r>
                </w:p>
              </w:tc>
            </w:tr>
          </w:tbl>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Times New Roman" w:hAnsi="Times New Roman" w:eastAsia="宋体" w:cs="Times New Roman"/>
                <w:color w:val="00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表3-2 医疗废物分类</w:t>
            </w:r>
          </w:p>
          <w:tbl>
            <w:tblPr>
              <w:tblStyle w:val="8"/>
              <w:tblW w:w="8591" w:type="dxa"/>
              <w:tblInd w:w="93" w:type="dxa"/>
              <w:tblLayout w:type="fixed"/>
              <w:tblCellMar>
                <w:top w:w="0" w:type="dxa"/>
                <w:left w:w="108" w:type="dxa"/>
                <w:bottom w:w="0" w:type="dxa"/>
                <w:right w:w="108" w:type="dxa"/>
              </w:tblCellMar>
            </w:tblPr>
            <w:tblGrid>
              <w:gridCol w:w="735"/>
              <w:gridCol w:w="1570"/>
              <w:gridCol w:w="6286"/>
            </w:tblGrid>
            <w:tr>
              <w:tblPrEx>
                <w:tblLayout w:type="fixed"/>
                <w:tblCellMar>
                  <w:top w:w="0" w:type="dxa"/>
                  <w:left w:w="108" w:type="dxa"/>
                  <w:bottom w:w="0" w:type="dxa"/>
                  <w:right w:w="108" w:type="dxa"/>
                </w:tblCellMar>
              </w:tblPrEx>
              <w:trPr>
                <w:trHeight w:val="285" w:hRule="atLeast"/>
                <w:tblHeader/>
              </w:trPr>
              <w:tc>
                <w:tcPr>
                  <w:tcW w:w="735" w:type="dxa"/>
                  <w:tcBorders>
                    <w:top w:val="single" w:color="auto" w:sz="4" w:space="0"/>
                    <w:left w:val="single" w:color="auto" w:sz="4" w:space="0"/>
                    <w:bottom w:val="single" w:color="auto" w:sz="4" w:space="0"/>
                    <w:right w:val="single" w:color="auto" w:sz="4" w:space="0"/>
                  </w:tcBorders>
                  <w:vAlign w:val="center"/>
                </w:tcPr>
                <w:p>
                  <w:pPr>
                    <w:widowControl/>
                    <w:spacing w:line="360" w:lineRule="exact"/>
                    <w:rPr>
                      <w:rFonts w:hint="eastAsia" w:ascii="宋体" w:hAnsi="宋体" w:eastAsia="宋体" w:cs="宋体"/>
                      <w:bCs/>
                      <w:color w:val="000000"/>
                      <w:kern w:val="0"/>
                      <w:sz w:val="21"/>
                      <w:szCs w:val="21"/>
                    </w:rPr>
                  </w:pPr>
                  <w:r>
                    <w:rPr>
                      <w:rFonts w:hint="eastAsia" w:ascii="宋体" w:hAnsi="宋体" w:eastAsia="宋体" w:cs="宋体"/>
                      <w:bCs/>
                      <w:color w:val="000000"/>
                      <w:kern w:val="0"/>
                      <w:sz w:val="21"/>
                      <w:szCs w:val="21"/>
                    </w:rPr>
                    <w:t>类别</w:t>
                  </w:r>
                </w:p>
              </w:tc>
              <w:tc>
                <w:tcPr>
                  <w:tcW w:w="1570" w:type="dxa"/>
                  <w:tcBorders>
                    <w:top w:val="single" w:color="auto" w:sz="4" w:space="0"/>
                    <w:left w:val="nil"/>
                    <w:bottom w:val="single" w:color="auto" w:sz="4" w:space="0"/>
                    <w:right w:val="single" w:color="auto" w:sz="4" w:space="0"/>
                  </w:tcBorders>
                  <w:vAlign w:val="center"/>
                </w:tcPr>
                <w:p>
                  <w:pPr>
                    <w:widowControl/>
                    <w:spacing w:line="360" w:lineRule="exact"/>
                    <w:jc w:val="center"/>
                    <w:rPr>
                      <w:rFonts w:hint="eastAsia" w:ascii="宋体" w:hAnsi="宋体" w:eastAsia="宋体" w:cs="宋体"/>
                      <w:bCs/>
                      <w:color w:val="000000"/>
                      <w:kern w:val="0"/>
                      <w:sz w:val="21"/>
                      <w:szCs w:val="21"/>
                    </w:rPr>
                  </w:pPr>
                  <w:r>
                    <w:rPr>
                      <w:rFonts w:hint="eastAsia" w:ascii="宋体" w:hAnsi="宋体" w:eastAsia="宋体" w:cs="宋体"/>
                      <w:bCs/>
                      <w:color w:val="000000"/>
                      <w:kern w:val="0"/>
                      <w:sz w:val="21"/>
                      <w:szCs w:val="21"/>
                    </w:rPr>
                    <w:t>特    征</w:t>
                  </w:r>
                </w:p>
              </w:tc>
              <w:tc>
                <w:tcPr>
                  <w:tcW w:w="6286" w:type="dxa"/>
                  <w:tcBorders>
                    <w:top w:val="single" w:color="auto" w:sz="4" w:space="0"/>
                    <w:left w:val="nil"/>
                    <w:bottom w:val="single" w:color="auto" w:sz="4" w:space="0"/>
                    <w:right w:val="single" w:color="auto" w:sz="4" w:space="0"/>
                  </w:tcBorders>
                  <w:vAlign w:val="center"/>
                </w:tcPr>
                <w:p>
                  <w:pPr>
                    <w:widowControl/>
                    <w:spacing w:line="360" w:lineRule="exact"/>
                    <w:jc w:val="center"/>
                    <w:rPr>
                      <w:rFonts w:hint="eastAsia" w:ascii="宋体" w:hAnsi="宋体" w:eastAsia="宋体" w:cs="宋体"/>
                      <w:bCs/>
                      <w:color w:val="000000"/>
                      <w:kern w:val="0"/>
                      <w:sz w:val="21"/>
                      <w:szCs w:val="21"/>
                    </w:rPr>
                  </w:pPr>
                  <w:r>
                    <w:rPr>
                      <w:rFonts w:hint="eastAsia" w:ascii="宋体" w:hAnsi="宋体" w:eastAsia="宋体" w:cs="宋体"/>
                      <w:bCs/>
                      <w:color w:val="000000"/>
                      <w:kern w:val="0"/>
                      <w:sz w:val="21"/>
                      <w:szCs w:val="21"/>
                    </w:rPr>
                    <w:t>常见组分或者废物名称</w:t>
                  </w:r>
                </w:p>
              </w:tc>
            </w:tr>
            <w:tr>
              <w:tblPrEx>
                <w:tblLayout w:type="fixed"/>
                <w:tblCellMar>
                  <w:top w:w="0" w:type="dxa"/>
                  <w:left w:w="108" w:type="dxa"/>
                  <w:bottom w:w="0" w:type="dxa"/>
                  <w:right w:w="108" w:type="dxa"/>
                </w:tblCellMar>
              </w:tblPrEx>
              <w:trPr>
                <w:trHeight w:val="752" w:hRule="atLeast"/>
              </w:trPr>
              <w:tc>
                <w:tcPr>
                  <w:tcW w:w="735" w:type="dxa"/>
                  <w:vMerge w:val="restart"/>
                  <w:tcBorders>
                    <w:top w:val="nil"/>
                    <w:left w:val="single" w:color="auto" w:sz="4" w:space="0"/>
                    <w:bottom w:val="single" w:color="auto" w:sz="4" w:space="0"/>
                    <w:right w:val="single" w:color="auto" w:sz="4" w:space="0"/>
                  </w:tcBorders>
                  <w:vAlign w:val="center"/>
                </w:tcPr>
                <w:p>
                  <w:pPr>
                    <w:widowControl/>
                    <w:spacing w:line="360" w:lineRule="exact"/>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感染性废物</w:t>
                  </w:r>
                </w:p>
              </w:tc>
              <w:tc>
                <w:tcPr>
                  <w:tcW w:w="1570" w:type="dxa"/>
                  <w:vMerge w:val="restart"/>
                  <w:tcBorders>
                    <w:top w:val="nil"/>
                    <w:left w:val="single" w:color="auto" w:sz="4" w:space="0"/>
                    <w:bottom w:val="single" w:color="auto" w:sz="4" w:space="0"/>
                    <w:right w:val="single" w:color="auto" w:sz="4" w:space="0"/>
                  </w:tcBorders>
                  <w:vAlign w:val="center"/>
                </w:tcPr>
                <w:p>
                  <w:pPr>
                    <w:widowControl/>
                    <w:spacing w:line="360" w:lineRule="exact"/>
                    <w:ind w:left="-55" w:leftChars="-25" w:right="-55" w:rightChars="-25"/>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携带病原微生物具有引发感染性疾病传播危险的医疗废物。</w:t>
                  </w:r>
                </w:p>
              </w:tc>
              <w:tc>
                <w:tcPr>
                  <w:tcW w:w="628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100" w:line="360" w:lineRule="exact"/>
                    <w:textAlignment w:val="auto"/>
                    <w:outlineLvl w:val="9"/>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xml:space="preserve">1、被病人血液、体液、排泄物污染的物品，包括： </w:t>
                  </w:r>
                </w:p>
                <w:p>
                  <w:pPr>
                    <w:keepNext w:val="0"/>
                    <w:keepLines w:val="0"/>
                    <w:pageBreakBefore w:val="0"/>
                    <w:widowControl/>
                    <w:kinsoku/>
                    <w:wordWrap/>
                    <w:overflowPunct/>
                    <w:topLinePunct w:val="0"/>
                    <w:autoSpaceDE/>
                    <w:autoSpaceDN/>
                    <w:bidi w:val="0"/>
                    <w:adjustRightInd w:val="0"/>
                    <w:snapToGrid w:val="0"/>
                    <w:spacing w:after="100" w:line="360" w:lineRule="exact"/>
                    <w:textAlignment w:val="auto"/>
                    <w:outlineLvl w:val="9"/>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—棉球、棉签、引流棉条、纱布及其他各种敷料；</w:t>
                  </w:r>
                </w:p>
                <w:p>
                  <w:pPr>
                    <w:keepNext w:val="0"/>
                    <w:keepLines w:val="0"/>
                    <w:pageBreakBefore w:val="0"/>
                    <w:widowControl/>
                    <w:kinsoku/>
                    <w:wordWrap/>
                    <w:overflowPunct/>
                    <w:topLinePunct w:val="0"/>
                    <w:autoSpaceDE/>
                    <w:autoSpaceDN/>
                    <w:bidi w:val="0"/>
                    <w:adjustRightInd w:val="0"/>
                    <w:snapToGrid w:val="0"/>
                    <w:spacing w:after="100" w:line="360" w:lineRule="exact"/>
                    <w:textAlignment w:val="auto"/>
                    <w:outlineLvl w:val="9"/>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—一次性使用卫生用品、一次性使用医疗用品及一次性医疗器械；</w:t>
                  </w:r>
                </w:p>
                <w:p>
                  <w:pPr>
                    <w:keepNext w:val="0"/>
                    <w:keepLines w:val="0"/>
                    <w:pageBreakBefore w:val="0"/>
                    <w:widowControl/>
                    <w:kinsoku/>
                    <w:wordWrap/>
                    <w:overflowPunct/>
                    <w:topLinePunct w:val="0"/>
                    <w:autoSpaceDE/>
                    <w:autoSpaceDN/>
                    <w:bidi w:val="0"/>
                    <w:adjustRightInd w:val="0"/>
                    <w:snapToGrid w:val="0"/>
                    <w:spacing w:after="100" w:line="360" w:lineRule="exact"/>
                    <w:textAlignment w:val="auto"/>
                    <w:outlineLvl w:val="9"/>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—废弃的被服；</w:t>
                  </w:r>
                </w:p>
                <w:p>
                  <w:pPr>
                    <w:keepNext w:val="0"/>
                    <w:keepLines w:val="0"/>
                    <w:pageBreakBefore w:val="0"/>
                    <w:widowControl/>
                    <w:kinsoku/>
                    <w:wordWrap/>
                    <w:overflowPunct/>
                    <w:topLinePunct w:val="0"/>
                    <w:autoSpaceDE/>
                    <w:autoSpaceDN/>
                    <w:bidi w:val="0"/>
                    <w:adjustRightInd w:val="0"/>
                    <w:snapToGrid w:val="0"/>
                    <w:spacing w:after="100" w:line="360" w:lineRule="exact"/>
                    <w:textAlignment w:val="auto"/>
                    <w:outlineLvl w:val="9"/>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—其他被病人血液、体液、排泄物污染的物品。</w:t>
                  </w:r>
                </w:p>
              </w:tc>
            </w:tr>
            <w:tr>
              <w:tblPrEx>
                <w:tblLayout w:type="fixed"/>
                <w:tblCellMar>
                  <w:top w:w="0" w:type="dxa"/>
                  <w:left w:w="108" w:type="dxa"/>
                  <w:bottom w:w="0" w:type="dxa"/>
                  <w:right w:w="108" w:type="dxa"/>
                </w:tblCellMar>
              </w:tblPrEx>
              <w:trPr>
                <w:trHeight w:val="56" w:hRule="atLeast"/>
              </w:trPr>
              <w:tc>
                <w:tcPr>
                  <w:tcW w:w="735" w:type="dxa"/>
                  <w:vMerge w:val="continue"/>
                  <w:tcBorders>
                    <w:top w:val="nil"/>
                    <w:left w:val="single" w:color="auto" w:sz="4" w:space="0"/>
                    <w:bottom w:val="single" w:color="auto" w:sz="4" w:space="0"/>
                    <w:right w:val="single" w:color="auto" w:sz="4" w:space="0"/>
                  </w:tcBorders>
                  <w:vAlign w:val="center"/>
                </w:tcPr>
                <w:p>
                  <w:pPr>
                    <w:widowControl/>
                    <w:spacing w:line="360" w:lineRule="exact"/>
                    <w:rPr>
                      <w:rFonts w:hint="eastAsia" w:ascii="宋体" w:hAnsi="宋体" w:eastAsia="宋体" w:cs="宋体"/>
                      <w:color w:val="000000"/>
                      <w:kern w:val="0"/>
                      <w:sz w:val="21"/>
                      <w:szCs w:val="21"/>
                    </w:rPr>
                  </w:pPr>
                </w:p>
              </w:tc>
              <w:tc>
                <w:tcPr>
                  <w:tcW w:w="1570" w:type="dxa"/>
                  <w:vMerge w:val="continue"/>
                  <w:tcBorders>
                    <w:top w:val="nil"/>
                    <w:left w:val="single" w:color="auto" w:sz="4" w:space="0"/>
                    <w:bottom w:val="single" w:color="auto" w:sz="4" w:space="0"/>
                    <w:right w:val="single" w:color="auto" w:sz="4" w:space="0"/>
                  </w:tcBorders>
                  <w:vAlign w:val="center"/>
                </w:tcPr>
                <w:p>
                  <w:pPr>
                    <w:widowControl/>
                    <w:spacing w:line="360" w:lineRule="exact"/>
                    <w:ind w:left="-55" w:leftChars="-25" w:right="-55" w:rightChars="-25"/>
                    <w:rPr>
                      <w:rFonts w:hint="eastAsia" w:ascii="宋体" w:hAnsi="宋体" w:eastAsia="宋体" w:cs="宋体"/>
                      <w:color w:val="000000"/>
                      <w:kern w:val="0"/>
                      <w:sz w:val="21"/>
                      <w:szCs w:val="21"/>
                    </w:rPr>
                  </w:pPr>
                </w:p>
              </w:tc>
              <w:tc>
                <w:tcPr>
                  <w:tcW w:w="6286" w:type="dxa"/>
                  <w:tcBorders>
                    <w:top w:val="nil"/>
                    <w:left w:val="nil"/>
                    <w:bottom w:val="single" w:color="auto" w:sz="4" w:space="0"/>
                    <w:right w:val="single" w:color="auto" w:sz="4" w:space="0"/>
                  </w:tcBorders>
                  <w:vAlign w:val="center"/>
                </w:tcPr>
                <w:p>
                  <w:pPr>
                    <w:keepNext w:val="0"/>
                    <w:keepLines w:val="0"/>
                    <w:pageBreakBefore w:val="0"/>
                    <w:widowControl/>
                    <w:numPr>
                      <w:ilvl w:val="0"/>
                      <w:numId w:val="1"/>
                    </w:numPr>
                    <w:kinsoku/>
                    <w:wordWrap/>
                    <w:overflowPunct/>
                    <w:topLinePunct w:val="0"/>
                    <w:autoSpaceDE/>
                    <w:autoSpaceDN/>
                    <w:bidi w:val="0"/>
                    <w:adjustRightInd w:val="0"/>
                    <w:snapToGrid w:val="0"/>
                    <w:spacing w:after="100" w:line="360" w:lineRule="exact"/>
                    <w:textAlignment w:val="auto"/>
                    <w:outlineLvl w:val="9"/>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医疗机构收治的隔离传染病病人或者疑似传染病病人产生</w:t>
                  </w:r>
                </w:p>
                <w:p>
                  <w:pPr>
                    <w:keepNext w:val="0"/>
                    <w:keepLines w:val="0"/>
                    <w:pageBreakBefore w:val="0"/>
                    <w:widowControl/>
                    <w:numPr>
                      <w:ilvl w:val="0"/>
                      <w:numId w:val="0"/>
                    </w:numPr>
                    <w:kinsoku/>
                    <w:wordWrap/>
                    <w:overflowPunct/>
                    <w:topLinePunct w:val="0"/>
                    <w:autoSpaceDE/>
                    <w:autoSpaceDN/>
                    <w:bidi w:val="0"/>
                    <w:adjustRightInd w:val="0"/>
                    <w:snapToGrid w:val="0"/>
                    <w:spacing w:after="100" w:line="360" w:lineRule="exact"/>
                    <w:ind w:firstLine="210" w:firstLineChars="100"/>
                    <w:textAlignment w:val="auto"/>
                    <w:outlineLvl w:val="9"/>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的生活垃圾。</w:t>
                  </w:r>
                </w:p>
              </w:tc>
            </w:tr>
            <w:tr>
              <w:tblPrEx>
                <w:tblLayout w:type="fixed"/>
                <w:tblCellMar>
                  <w:top w:w="0" w:type="dxa"/>
                  <w:left w:w="108" w:type="dxa"/>
                  <w:bottom w:w="0" w:type="dxa"/>
                  <w:right w:w="108" w:type="dxa"/>
                </w:tblCellMar>
              </w:tblPrEx>
              <w:trPr>
                <w:trHeight w:val="123" w:hRule="atLeast"/>
              </w:trPr>
              <w:tc>
                <w:tcPr>
                  <w:tcW w:w="735" w:type="dxa"/>
                  <w:vMerge w:val="continue"/>
                  <w:tcBorders>
                    <w:top w:val="nil"/>
                    <w:left w:val="single" w:color="auto" w:sz="4" w:space="0"/>
                    <w:bottom w:val="single" w:color="auto" w:sz="4" w:space="0"/>
                    <w:right w:val="single" w:color="auto" w:sz="4" w:space="0"/>
                  </w:tcBorders>
                  <w:vAlign w:val="center"/>
                </w:tcPr>
                <w:p>
                  <w:pPr>
                    <w:widowControl/>
                    <w:spacing w:line="360" w:lineRule="exact"/>
                    <w:rPr>
                      <w:rFonts w:hint="eastAsia" w:ascii="宋体" w:hAnsi="宋体" w:eastAsia="宋体" w:cs="宋体"/>
                      <w:color w:val="000000"/>
                      <w:kern w:val="0"/>
                      <w:sz w:val="21"/>
                      <w:szCs w:val="21"/>
                    </w:rPr>
                  </w:pPr>
                </w:p>
              </w:tc>
              <w:tc>
                <w:tcPr>
                  <w:tcW w:w="1570" w:type="dxa"/>
                  <w:vMerge w:val="continue"/>
                  <w:tcBorders>
                    <w:top w:val="nil"/>
                    <w:left w:val="single" w:color="auto" w:sz="4" w:space="0"/>
                    <w:bottom w:val="single" w:color="auto" w:sz="4" w:space="0"/>
                    <w:right w:val="single" w:color="auto" w:sz="4" w:space="0"/>
                  </w:tcBorders>
                  <w:vAlign w:val="center"/>
                </w:tcPr>
                <w:p>
                  <w:pPr>
                    <w:widowControl/>
                    <w:spacing w:line="360" w:lineRule="exact"/>
                    <w:ind w:left="-55" w:leftChars="-25" w:right="-55" w:rightChars="-25"/>
                    <w:rPr>
                      <w:rFonts w:hint="eastAsia" w:ascii="宋体" w:hAnsi="宋体" w:eastAsia="宋体" w:cs="宋体"/>
                      <w:color w:val="000000"/>
                      <w:kern w:val="0"/>
                      <w:sz w:val="21"/>
                      <w:szCs w:val="21"/>
                    </w:rPr>
                  </w:pPr>
                </w:p>
              </w:tc>
              <w:tc>
                <w:tcPr>
                  <w:tcW w:w="628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100" w:line="360" w:lineRule="exact"/>
                    <w:textAlignment w:val="auto"/>
                    <w:outlineLvl w:val="9"/>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3、病原体的培养基、标本和菌种、毒种保存液。</w:t>
                  </w:r>
                </w:p>
              </w:tc>
            </w:tr>
            <w:tr>
              <w:tblPrEx>
                <w:tblLayout w:type="fixed"/>
                <w:tblCellMar>
                  <w:top w:w="0" w:type="dxa"/>
                  <w:left w:w="108" w:type="dxa"/>
                  <w:bottom w:w="0" w:type="dxa"/>
                  <w:right w:w="108" w:type="dxa"/>
                </w:tblCellMar>
              </w:tblPrEx>
              <w:trPr>
                <w:trHeight w:val="56" w:hRule="atLeast"/>
              </w:trPr>
              <w:tc>
                <w:tcPr>
                  <w:tcW w:w="735" w:type="dxa"/>
                  <w:vMerge w:val="continue"/>
                  <w:tcBorders>
                    <w:top w:val="nil"/>
                    <w:left w:val="single" w:color="auto" w:sz="4" w:space="0"/>
                    <w:bottom w:val="single" w:color="auto" w:sz="4" w:space="0"/>
                    <w:right w:val="single" w:color="auto" w:sz="4" w:space="0"/>
                  </w:tcBorders>
                  <w:vAlign w:val="center"/>
                </w:tcPr>
                <w:p>
                  <w:pPr>
                    <w:widowControl/>
                    <w:spacing w:line="360" w:lineRule="exact"/>
                    <w:rPr>
                      <w:rFonts w:hint="eastAsia" w:ascii="宋体" w:hAnsi="宋体" w:eastAsia="宋体" w:cs="宋体"/>
                      <w:color w:val="000000"/>
                      <w:kern w:val="0"/>
                      <w:sz w:val="21"/>
                      <w:szCs w:val="21"/>
                    </w:rPr>
                  </w:pPr>
                </w:p>
              </w:tc>
              <w:tc>
                <w:tcPr>
                  <w:tcW w:w="1570" w:type="dxa"/>
                  <w:vMerge w:val="continue"/>
                  <w:tcBorders>
                    <w:top w:val="nil"/>
                    <w:left w:val="single" w:color="auto" w:sz="4" w:space="0"/>
                    <w:bottom w:val="single" w:color="auto" w:sz="4" w:space="0"/>
                    <w:right w:val="single" w:color="auto" w:sz="4" w:space="0"/>
                  </w:tcBorders>
                  <w:vAlign w:val="center"/>
                </w:tcPr>
                <w:p>
                  <w:pPr>
                    <w:widowControl/>
                    <w:spacing w:line="360" w:lineRule="exact"/>
                    <w:ind w:left="-55" w:leftChars="-25" w:right="-55" w:rightChars="-25"/>
                    <w:rPr>
                      <w:rFonts w:hint="eastAsia" w:ascii="宋体" w:hAnsi="宋体" w:eastAsia="宋体" w:cs="宋体"/>
                      <w:color w:val="000000"/>
                      <w:kern w:val="0"/>
                      <w:sz w:val="21"/>
                      <w:szCs w:val="21"/>
                    </w:rPr>
                  </w:pPr>
                </w:p>
              </w:tc>
              <w:tc>
                <w:tcPr>
                  <w:tcW w:w="628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100" w:line="360" w:lineRule="exact"/>
                    <w:textAlignment w:val="auto"/>
                    <w:outlineLvl w:val="9"/>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4、各种废弃的医学标本。</w:t>
                  </w:r>
                </w:p>
              </w:tc>
            </w:tr>
            <w:tr>
              <w:tblPrEx>
                <w:tblLayout w:type="fixed"/>
                <w:tblCellMar>
                  <w:top w:w="0" w:type="dxa"/>
                  <w:left w:w="108" w:type="dxa"/>
                  <w:bottom w:w="0" w:type="dxa"/>
                  <w:right w:w="108" w:type="dxa"/>
                </w:tblCellMar>
              </w:tblPrEx>
              <w:trPr>
                <w:trHeight w:val="285" w:hRule="atLeast"/>
              </w:trPr>
              <w:tc>
                <w:tcPr>
                  <w:tcW w:w="735" w:type="dxa"/>
                  <w:vMerge w:val="continue"/>
                  <w:tcBorders>
                    <w:top w:val="nil"/>
                    <w:left w:val="single" w:color="auto" w:sz="4" w:space="0"/>
                    <w:bottom w:val="single" w:color="auto" w:sz="4" w:space="0"/>
                    <w:right w:val="single" w:color="auto" w:sz="4" w:space="0"/>
                  </w:tcBorders>
                  <w:vAlign w:val="center"/>
                </w:tcPr>
                <w:p>
                  <w:pPr>
                    <w:widowControl/>
                    <w:spacing w:line="360" w:lineRule="exact"/>
                    <w:rPr>
                      <w:rFonts w:hint="eastAsia" w:ascii="宋体" w:hAnsi="宋体" w:eastAsia="宋体" w:cs="宋体"/>
                      <w:color w:val="000000"/>
                      <w:kern w:val="0"/>
                      <w:sz w:val="21"/>
                      <w:szCs w:val="21"/>
                    </w:rPr>
                  </w:pPr>
                </w:p>
              </w:tc>
              <w:tc>
                <w:tcPr>
                  <w:tcW w:w="1570" w:type="dxa"/>
                  <w:vMerge w:val="continue"/>
                  <w:tcBorders>
                    <w:top w:val="nil"/>
                    <w:left w:val="single" w:color="auto" w:sz="4" w:space="0"/>
                    <w:bottom w:val="single" w:color="auto" w:sz="4" w:space="0"/>
                    <w:right w:val="single" w:color="auto" w:sz="4" w:space="0"/>
                  </w:tcBorders>
                  <w:vAlign w:val="center"/>
                </w:tcPr>
                <w:p>
                  <w:pPr>
                    <w:widowControl/>
                    <w:spacing w:line="360" w:lineRule="exact"/>
                    <w:ind w:left="-55" w:leftChars="-25" w:right="-55" w:rightChars="-25"/>
                    <w:rPr>
                      <w:rFonts w:hint="eastAsia" w:ascii="宋体" w:hAnsi="宋体" w:eastAsia="宋体" w:cs="宋体"/>
                      <w:color w:val="000000"/>
                      <w:kern w:val="0"/>
                      <w:sz w:val="21"/>
                      <w:szCs w:val="21"/>
                    </w:rPr>
                  </w:pPr>
                </w:p>
              </w:tc>
              <w:tc>
                <w:tcPr>
                  <w:tcW w:w="6286" w:type="dxa"/>
                  <w:tcBorders>
                    <w:top w:val="nil"/>
                    <w:left w:val="nil"/>
                    <w:bottom w:val="single" w:color="auto" w:sz="4" w:space="0"/>
                    <w:right w:val="single" w:color="auto" w:sz="4" w:space="0"/>
                  </w:tcBorders>
                  <w:vAlign w:val="center"/>
                </w:tcPr>
                <w:p>
                  <w:pPr>
                    <w:widowControl/>
                    <w:spacing w:line="360" w:lineRule="exac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5、废弃的血液、血清。</w:t>
                  </w:r>
                </w:p>
              </w:tc>
            </w:tr>
            <w:tr>
              <w:tblPrEx>
                <w:tblLayout w:type="fixed"/>
                <w:tblCellMar>
                  <w:top w:w="0" w:type="dxa"/>
                  <w:left w:w="108" w:type="dxa"/>
                  <w:bottom w:w="0" w:type="dxa"/>
                  <w:right w:w="108" w:type="dxa"/>
                </w:tblCellMar>
              </w:tblPrEx>
              <w:trPr>
                <w:trHeight w:val="140" w:hRule="atLeast"/>
              </w:trPr>
              <w:tc>
                <w:tcPr>
                  <w:tcW w:w="735" w:type="dxa"/>
                  <w:vMerge w:val="continue"/>
                  <w:tcBorders>
                    <w:top w:val="nil"/>
                    <w:left w:val="single" w:color="auto" w:sz="4" w:space="0"/>
                    <w:bottom w:val="single" w:color="auto" w:sz="4" w:space="0"/>
                    <w:right w:val="single" w:color="auto" w:sz="4" w:space="0"/>
                  </w:tcBorders>
                  <w:vAlign w:val="center"/>
                </w:tcPr>
                <w:p>
                  <w:pPr>
                    <w:widowControl/>
                    <w:spacing w:line="360" w:lineRule="exact"/>
                    <w:rPr>
                      <w:rFonts w:hint="eastAsia" w:ascii="宋体" w:hAnsi="宋体" w:eastAsia="宋体" w:cs="宋体"/>
                      <w:color w:val="000000"/>
                      <w:kern w:val="0"/>
                      <w:sz w:val="21"/>
                      <w:szCs w:val="21"/>
                    </w:rPr>
                  </w:pPr>
                </w:p>
              </w:tc>
              <w:tc>
                <w:tcPr>
                  <w:tcW w:w="1570" w:type="dxa"/>
                  <w:vMerge w:val="continue"/>
                  <w:tcBorders>
                    <w:top w:val="nil"/>
                    <w:left w:val="single" w:color="auto" w:sz="4" w:space="0"/>
                    <w:bottom w:val="single" w:color="auto" w:sz="4" w:space="0"/>
                    <w:right w:val="single" w:color="auto" w:sz="4" w:space="0"/>
                  </w:tcBorders>
                  <w:vAlign w:val="center"/>
                </w:tcPr>
                <w:p>
                  <w:pPr>
                    <w:widowControl/>
                    <w:spacing w:line="360" w:lineRule="exact"/>
                    <w:ind w:left="-55" w:leftChars="-25" w:right="-55" w:rightChars="-25"/>
                    <w:rPr>
                      <w:rFonts w:hint="eastAsia" w:ascii="宋体" w:hAnsi="宋体" w:eastAsia="宋体" w:cs="宋体"/>
                      <w:color w:val="000000"/>
                      <w:kern w:val="0"/>
                      <w:sz w:val="21"/>
                      <w:szCs w:val="21"/>
                    </w:rPr>
                  </w:pPr>
                </w:p>
              </w:tc>
              <w:tc>
                <w:tcPr>
                  <w:tcW w:w="6286" w:type="dxa"/>
                  <w:tcBorders>
                    <w:top w:val="nil"/>
                    <w:left w:val="nil"/>
                    <w:bottom w:val="single" w:color="auto" w:sz="4" w:space="0"/>
                    <w:right w:val="single" w:color="auto" w:sz="4" w:space="0"/>
                  </w:tcBorders>
                  <w:vAlign w:val="center"/>
                </w:tcPr>
                <w:p>
                  <w:pPr>
                    <w:keepNext w:val="0"/>
                    <w:keepLines w:val="0"/>
                    <w:pageBreakBefore w:val="0"/>
                    <w:widowControl/>
                    <w:numPr>
                      <w:ilvl w:val="0"/>
                      <w:numId w:val="2"/>
                    </w:numPr>
                    <w:kinsoku/>
                    <w:wordWrap/>
                    <w:overflowPunct/>
                    <w:topLinePunct w:val="0"/>
                    <w:autoSpaceDE/>
                    <w:autoSpaceDN/>
                    <w:bidi w:val="0"/>
                    <w:adjustRightInd w:val="0"/>
                    <w:snapToGrid w:val="0"/>
                    <w:spacing w:after="100" w:line="360" w:lineRule="exact"/>
                    <w:textAlignment w:val="auto"/>
                    <w:outlineLvl w:val="9"/>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使用后的一次性使用医疗用品及一次性医疗器械</w:t>
                  </w:r>
                </w:p>
                <w:p>
                  <w:pPr>
                    <w:keepNext w:val="0"/>
                    <w:keepLines w:val="0"/>
                    <w:pageBreakBefore w:val="0"/>
                    <w:widowControl/>
                    <w:numPr>
                      <w:ilvl w:val="0"/>
                      <w:numId w:val="0"/>
                    </w:numPr>
                    <w:kinsoku/>
                    <w:wordWrap/>
                    <w:overflowPunct/>
                    <w:topLinePunct w:val="0"/>
                    <w:autoSpaceDE/>
                    <w:autoSpaceDN/>
                    <w:bidi w:val="0"/>
                    <w:adjustRightInd w:val="0"/>
                    <w:snapToGrid w:val="0"/>
                    <w:spacing w:after="100" w:line="360" w:lineRule="exact"/>
                    <w:ind w:firstLine="210" w:firstLineChars="100"/>
                    <w:textAlignment w:val="auto"/>
                    <w:outlineLvl w:val="9"/>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视为感染性废物。</w:t>
                  </w:r>
                </w:p>
              </w:tc>
            </w:tr>
            <w:tr>
              <w:tblPrEx>
                <w:tblLayout w:type="fixed"/>
                <w:tblCellMar>
                  <w:top w:w="0" w:type="dxa"/>
                  <w:left w:w="108" w:type="dxa"/>
                  <w:bottom w:w="0" w:type="dxa"/>
                  <w:right w:w="108" w:type="dxa"/>
                </w:tblCellMar>
              </w:tblPrEx>
              <w:trPr>
                <w:trHeight w:val="421" w:hRule="atLeast"/>
              </w:trPr>
              <w:tc>
                <w:tcPr>
                  <w:tcW w:w="735" w:type="dxa"/>
                  <w:vMerge w:val="restart"/>
                  <w:tcBorders>
                    <w:top w:val="nil"/>
                    <w:left w:val="single" w:color="auto" w:sz="4" w:space="0"/>
                    <w:bottom w:val="single" w:color="auto" w:sz="4" w:space="0"/>
                    <w:right w:val="single" w:color="auto" w:sz="4" w:space="0"/>
                  </w:tcBorders>
                  <w:vAlign w:val="center"/>
                </w:tcPr>
                <w:p>
                  <w:pPr>
                    <w:widowControl/>
                    <w:spacing w:line="360" w:lineRule="exact"/>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病理性废物</w:t>
                  </w:r>
                </w:p>
              </w:tc>
              <w:tc>
                <w:tcPr>
                  <w:tcW w:w="1570" w:type="dxa"/>
                  <w:vMerge w:val="restart"/>
                  <w:tcBorders>
                    <w:top w:val="nil"/>
                    <w:left w:val="single" w:color="auto" w:sz="4" w:space="0"/>
                    <w:bottom w:val="single" w:color="auto" w:sz="4" w:space="0"/>
                    <w:right w:val="single" w:color="auto" w:sz="4" w:space="0"/>
                  </w:tcBorders>
                  <w:vAlign w:val="center"/>
                </w:tcPr>
                <w:p>
                  <w:pPr>
                    <w:widowControl/>
                    <w:spacing w:line="360" w:lineRule="exact"/>
                    <w:ind w:left="-55" w:leftChars="-25" w:right="-55" w:rightChars="-25"/>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诊疗过程中产生的人体废弃物和医学实验动物尸体等。</w:t>
                  </w:r>
                </w:p>
              </w:tc>
              <w:tc>
                <w:tcPr>
                  <w:tcW w:w="628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100" w:line="360" w:lineRule="exact"/>
                    <w:textAlignment w:val="auto"/>
                    <w:outlineLvl w:val="9"/>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1、手术及其他诊疗过程中产生的废弃的人体组织、器官等。</w:t>
                  </w:r>
                </w:p>
              </w:tc>
            </w:tr>
            <w:tr>
              <w:tblPrEx>
                <w:tblLayout w:type="fixed"/>
                <w:tblCellMar>
                  <w:top w:w="0" w:type="dxa"/>
                  <w:left w:w="108" w:type="dxa"/>
                  <w:bottom w:w="0" w:type="dxa"/>
                  <w:right w:w="108" w:type="dxa"/>
                </w:tblCellMar>
              </w:tblPrEx>
              <w:trPr>
                <w:trHeight w:val="421" w:hRule="atLeast"/>
              </w:trPr>
              <w:tc>
                <w:tcPr>
                  <w:tcW w:w="735" w:type="dxa"/>
                  <w:vMerge w:val="continue"/>
                  <w:tcBorders>
                    <w:top w:val="nil"/>
                    <w:left w:val="single" w:color="auto" w:sz="4" w:space="0"/>
                    <w:bottom w:val="single" w:color="auto" w:sz="4" w:space="0"/>
                    <w:right w:val="single" w:color="auto" w:sz="4" w:space="0"/>
                  </w:tcBorders>
                  <w:vAlign w:val="center"/>
                </w:tcPr>
                <w:p>
                  <w:pPr>
                    <w:widowControl/>
                    <w:spacing w:line="360" w:lineRule="exact"/>
                    <w:rPr>
                      <w:rFonts w:hint="eastAsia" w:ascii="宋体" w:hAnsi="宋体" w:eastAsia="宋体" w:cs="宋体"/>
                      <w:color w:val="000000"/>
                      <w:kern w:val="0"/>
                      <w:sz w:val="21"/>
                      <w:szCs w:val="21"/>
                    </w:rPr>
                  </w:pPr>
                </w:p>
              </w:tc>
              <w:tc>
                <w:tcPr>
                  <w:tcW w:w="1570" w:type="dxa"/>
                  <w:vMerge w:val="continue"/>
                  <w:tcBorders>
                    <w:top w:val="nil"/>
                    <w:left w:val="single" w:color="auto" w:sz="4" w:space="0"/>
                    <w:bottom w:val="single" w:color="auto" w:sz="4" w:space="0"/>
                    <w:right w:val="single" w:color="auto" w:sz="4" w:space="0"/>
                  </w:tcBorders>
                  <w:vAlign w:val="center"/>
                </w:tcPr>
                <w:p>
                  <w:pPr>
                    <w:widowControl/>
                    <w:spacing w:line="360" w:lineRule="exact"/>
                    <w:rPr>
                      <w:rFonts w:hint="eastAsia" w:ascii="宋体" w:hAnsi="宋体" w:eastAsia="宋体" w:cs="宋体"/>
                      <w:color w:val="000000"/>
                      <w:kern w:val="0"/>
                      <w:sz w:val="21"/>
                      <w:szCs w:val="21"/>
                    </w:rPr>
                  </w:pPr>
                </w:p>
              </w:tc>
              <w:tc>
                <w:tcPr>
                  <w:tcW w:w="628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100" w:line="360" w:lineRule="exact"/>
                    <w:textAlignment w:val="auto"/>
                    <w:outlineLvl w:val="9"/>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2、医学实验动物的组织、尸体。</w:t>
                  </w:r>
                </w:p>
              </w:tc>
            </w:tr>
            <w:tr>
              <w:tblPrEx>
                <w:tblLayout w:type="fixed"/>
                <w:tblCellMar>
                  <w:top w:w="0" w:type="dxa"/>
                  <w:left w:w="108" w:type="dxa"/>
                  <w:bottom w:w="0" w:type="dxa"/>
                  <w:right w:w="108" w:type="dxa"/>
                </w:tblCellMar>
              </w:tblPrEx>
              <w:trPr>
                <w:trHeight w:val="85" w:hRule="atLeast"/>
              </w:trPr>
              <w:tc>
                <w:tcPr>
                  <w:tcW w:w="735" w:type="dxa"/>
                  <w:vMerge w:val="continue"/>
                  <w:tcBorders>
                    <w:top w:val="nil"/>
                    <w:left w:val="single" w:color="auto" w:sz="4" w:space="0"/>
                    <w:bottom w:val="single" w:color="auto" w:sz="4" w:space="0"/>
                    <w:right w:val="single" w:color="auto" w:sz="4" w:space="0"/>
                  </w:tcBorders>
                  <w:vAlign w:val="center"/>
                </w:tcPr>
                <w:p>
                  <w:pPr>
                    <w:widowControl/>
                    <w:spacing w:line="360" w:lineRule="exact"/>
                    <w:rPr>
                      <w:rFonts w:hint="eastAsia" w:ascii="宋体" w:hAnsi="宋体" w:eastAsia="宋体" w:cs="宋体"/>
                      <w:color w:val="000000"/>
                      <w:kern w:val="0"/>
                      <w:sz w:val="21"/>
                      <w:szCs w:val="21"/>
                    </w:rPr>
                  </w:pPr>
                </w:p>
              </w:tc>
              <w:tc>
                <w:tcPr>
                  <w:tcW w:w="1570" w:type="dxa"/>
                  <w:vMerge w:val="continue"/>
                  <w:tcBorders>
                    <w:top w:val="nil"/>
                    <w:left w:val="single" w:color="auto" w:sz="4" w:space="0"/>
                    <w:bottom w:val="single" w:color="auto" w:sz="4" w:space="0"/>
                    <w:right w:val="single" w:color="auto" w:sz="4" w:space="0"/>
                  </w:tcBorders>
                  <w:vAlign w:val="center"/>
                </w:tcPr>
                <w:p>
                  <w:pPr>
                    <w:widowControl/>
                    <w:spacing w:line="360" w:lineRule="exact"/>
                    <w:rPr>
                      <w:rFonts w:hint="eastAsia" w:ascii="宋体" w:hAnsi="宋体" w:eastAsia="宋体" w:cs="宋体"/>
                      <w:color w:val="000000"/>
                      <w:kern w:val="0"/>
                      <w:sz w:val="21"/>
                      <w:szCs w:val="21"/>
                    </w:rPr>
                  </w:pPr>
                </w:p>
              </w:tc>
              <w:tc>
                <w:tcPr>
                  <w:tcW w:w="628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100" w:line="360" w:lineRule="exact"/>
                    <w:textAlignment w:val="auto"/>
                    <w:outlineLvl w:val="9"/>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3、病理切片后废弃的人体组织、病理腊块等。</w:t>
                  </w:r>
                </w:p>
              </w:tc>
            </w:tr>
            <w:tr>
              <w:tblPrEx>
                <w:tblLayout w:type="fixed"/>
                <w:tblCellMar>
                  <w:top w:w="0" w:type="dxa"/>
                  <w:left w:w="108" w:type="dxa"/>
                  <w:bottom w:w="0" w:type="dxa"/>
                  <w:right w:w="108" w:type="dxa"/>
                </w:tblCellMar>
              </w:tblPrEx>
              <w:trPr>
                <w:trHeight w:val="56" w:hRule="atLeast"/>
              </w:trPr>
              <w:tc>
                <w:tcPr>
                  <w:tcW w:w="735" w:type="dxa"/>
                  <w:vMerge w:val="restart"/>
                  <w:tcBorders>
                    <w:top w:val="nil"/>
                    <w:left w:val="single" w:color="auto" w:sz="4" w:space="0"/>
                    <w:bottom w:val="single" w:color="auto" w:sz="4" w:space="0"/>
                    <w:right w:val="single" w:color="auto" w:sz="4" w:space="0"/>
                  </w:tcBorders>
                  <w:vAlign w:val="center"/>
                </w:tcPr>
                <w:p>
                  <w:pPr>
                    <w:widowControl/>
                    <w:spacing w:line="360" w:lineRule="exact"/>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损伤性废物</w:t>
                  </w:r>
                </w:p>
              </w:tc>
              <w:tc>
                <w:tcPr>
                  <w:tcW w:w="1570" w:type="dxa"/>
                  <w:vMerge w:val="restart"/>
                  <w:tcBorders>
                    <w:top w:val="nil"/>
                    <w:left w:val="single" w:color="auto" w:sz="4" w:space="0"/>
                    <w:bottom w:val="single" w:color="auto" w:sz="4" w:space="0"/>
                    <w:right w:val="single" w:color="auto" w:sz="4" w:space="0"/>
                  </w:tcBorders>
                  <w:vAlign w:val="center"/>
                </w:tcPr>
                <w:p>
                  <w:pPr>
                    <w:widowControl/>
                    <w:spacing w:line="360" w:lineRule="exact"/>
                    <w:ind w:left="-55" w:leftChars="-25" w:right="-55" w:rightChars="-25"/>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能够刺伤或者割伤人体的废弃的医用锐器。</w:t>
                  </w:r>
                </w:p>
              </w:tc>
              <w:tc>
                <w:tcPr>
                  <w:tcW w:w="628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100" w:line="360" w:lineRule="exact"/>
                    <w:textAlignment w:val="auto"/>
                    <w:outlineLvl w:val="9"/>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1、医用针头、缝合针。</w:t>
                  </w:r>
                </w:p>
              </w:tc>
            </w:tr>
            <w:tr>
              <w:tblPrEx>
                <w:tblLayout w:type="fixed"/>
                <w:tblCellMar>
                  <w:top w:w="0" w:type="dxa"/>
                  <w:left w:w="108" w:type="dxa"/>
                  <w:bottom w:w="0" w:type="dxa"/>
                  <w:right w:w="108" w:type="dxa"/>
                </w:tblCellMar>
              </w:tblPrEx>
              <w:trPr>
                <w:trHeight w:val="151" w:hRule="atLeast"/>
              </w:trPr>
              <w:tc>
                <w:tcPr>
                  <w:tcW w:w="735" w:type="dxa"/>
                  <w:vMerge w:val="continue"/>
                  <w:tcBorders>
                    <w:top w:val="nil"/>
                    <w:left w:val="single" w:color="auto" w:sz="4" w:space="0"/>
                    <w:bottom w:val="single" w:color="auto" w:sz="4" w:space="0"/>
                    <w:right w:val="single" w:color="auto" w:sz="4" w:space="0"/>
                  </w:tcBorders>
                  <w:vAlign w:val="center"/>
                </w:tcPr>
                <w:p>
                  <w:pPr>
                    <w:widowControl/>
                    <w:spacing w:line="360" w:lineRule="exact"/>
                    <w:rPr>
                      <w:rFonts w:hint="eastAsia" w:ascii="宋体" w:hAnsi="宋体" w:eastAsia="宋体" w:cs="宋体"/>
                      <w:color w:val="000000"/>
                      <w:kern w:val="0"/>
                      <w:sz w:val="21"/>
                      <w:szCs w:val="21"/>
                    </w:rPr>
                  </w:pPr>
                </w:p>
              </w:tc>
              <w:tc>
                <w:tcPr>
                  <w:tcW w:w="1570" w:type="dxa"/>
                  <w:vMerge w:val="continue"/>
                  <w:tcBorders>
                    <w:top w:val="nil"/>
                    <w:left w:val="single" w:color="auto" w:sz="4" w:space="0"/>
                    <w:bottom w:val="single" w:color="auto" w:sz="4" w:space="0"/>
                    <w:right w:val="single" w:color="auto" w:sz="4" w:space="0"/>
                  </w:tcBorders>
                  <w:vAlign w:val="center"/>
                </w:tcPr>
                <w:p>
                  <w:pPr>
                    <w:widowControl/>
                    <w:spacing w:line="360" w:lineRule="exact"/>
                    <w:ind w:left="-55" w:leftChars="-25" w:right="-55" w:rightChars="-25"/>
                    <w:rPr>
                      <w:rFonts w:hint="eastAsia" w:ascii="宋体" w:hAnsi="宋体" w:eastAsia="宋体" w:cs="宋体"/>
                      <w:color w:val="000000"/>
                      <w:kern w:val="0"/>
                      <w:sz w:val="21"/>
                      <w:szCs w:val="21"/>
                    </w:rPr>
                  </w:pPr>
                </w:p>
              </w:tc>
              <w:tc>
                <w:tcPr>
                  <w:tcW w:w="628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100" w:line="360" w:lineRule="exact"/>
                    <w:textAlignment w:val="auto"/>
                    <w:outlineLvl w:val="9"/>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2、各类医用锐器，包括：解剖刀、手术刀、备皮刀、手术锯等。</w:t>
                  </w:r>
                </w:p>
              </w:tc>
            </w:tr>
            <w:tr>
              <w:tblPrEx>
                <w:tblLayout w:type="fixed"/>
                <w:tblCellMar>
                  <w:top w:w="0" w:type="dxa"/>
                  <w:left w:w="108" w:type="dxa"/>
                  <w:bottom w:w="0" w:type="dxa"/>
                  <w:right w:w="108" w:type="dxa"/>
                </w:tblCellMar>
              </w:tblPrEx>
              <w:trPr>
                <w:trHeight w:val="280" w:hRule="atLeast"/>
              </w:trPr>
              <w:tc>
                <w:tcPr>
                  <w:tcW w:w="735" w:type="dxa"/>
                  <w:vMerge w:val="continue"/>
                  <w:tcBorders>
                    <w:top w:val="nil"/>
                    <w:left w:val="single" w:color="auto" w:sz="4" w:space="0"/>
                    <w:bottom w:val="single" w:color="auto" w:sz="4" w:space="0"/>
                    <w:right w:val="single" w:color="auto" w:sz="4" w:space="0"/>
                  </w:tcBorders>
                  <w:vAlign w:val="center"/>
                </w:tcPr>
                <w:p>
                  <w:pPr>
                    <w:widowControl/>
                    <w:spacing w:line="360" w:lineRule="exact"/>
                    <w:rPr>
                      <w:rFonts w:hint="eastAsia" w:ascii="宋体" w:hAnsi="宋体" w:eastAsia="宋体" w:cs="宋体"/>
                      <w:color w:val="000000"/>
                      <w:kern w:val="0"/>
                      <w:sz w:val="21"/>
                      <w:szCs w:val="21"/>
                    </w:rPr>
                  </w:pPr>
                </w:p>
              </w:tc>
              <w:tc>
                <w:tcPr>
                  <w:tcW w:w="1570" w:type="dxa"/>
                  <w:vMerge w:val="continue"/>
                  <w:tcBorders>
                    <w:top w:val="nil"/>
                    <w:left w:val="single" w:color="auto" w:sz="4" w:space="0"/>
                    <w:bottom w:val="single" w:color="auto" w:sz="4" w:space="0"/>
                    <w:right w:val="single" w:color="auto" w:sz="4" w:space="0"/>
                  </w:tcBorders>
                  <w:vAlign w:val="center"/>
                </w:tcPr>
                <w:p>
                  <w:pPr>
                    <w:widowControl/>
                    <w:spacing w:line="360" w:lineRule="exact"/>
                    <w:ind w:left="-55" w:leftChars="-25" w:right="-55" w:rightChars="-25"/>
                    <w:rPr>
                      <w:rFonts w:hint="eastAsia" w:ascii="宋体" w:hAnsi="宋体" w:eastAsia="宋体" w:cs="宋体"/>
                      <w:color w:val="000000"/>
                      <w:kern w:val="0"/>
                      <w:sz w:val="21"/>
                      <w:szCs w:val="21"/>
                    </w:rPr>
                  </w:pPr>
                </w:p>
              </w:tc>
              <w:tc>
                <w:tcPr>
                  <w:tcW w:w="628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100" w:line="360" w:lineRule="exact"/>
                    <w:textAlignment w:val="auto"/>
                    <w:outlineLvl w:val="9"/>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3、载玻片、玻璃试管、玻璃安瓿等。</w:t>
                  </w:r>
                </w:p>
              </w:tc>
            </w:tr>
            <w:tr>
              <w:tblPrEx>
                <w:tblLayout w:type="fixed"/>
                <w:tblCellMar>
                  <w:top w:w="0" w:type="dxa"/>
                  <w:left w:w="108" w:type="dxa"/>
                  <w:bottom w:w="0" w:type="dxa"/>
                  <w:right w:w="108" w:type="dxa"/>
                </w:tblCellMar>
              </w:tblPrEx>
              <w:trPr>
                <w:trHeight w:val="56" w:hRule="atLeast"/>
              </w:trPr>
              <w:tc>
                <w:tcPr>
                  <w:tcW w:w="735" w:type="dxa"/>
                  <w:vMerge w:val="restart"/>
                  <w:tcBorders>
                    <w:top w:val="nil"/>
                    <w:left w:val="single" w:color="auto" w:sz="4" w:space="0"/>
                    <w:bottom w:val="single" w:color="auto" w:sz="4" w:space="0"/>
                    <w:right w:val="single" w:color="auto" w:sz="4" w:space="0"/>
                  </w:tcBorders>
                  <w:vAlign w:val="center"/>
                </w:tcPr>
                <w:p>
                  <w:pPr>
                    <w:widowControl/>
                    <w:spacing w:line="360" w:lineRule="exact"/>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药物性废物</w:t>
                  </w:r>
                </w:p>
              </w:tc>
              <w:tc>
                <w:tcPr>
                  <w:tcW w:w="1570" w:type="dxa"/>
                  <w:vMerge w:val="restart"/>
                  <w:tcBorders>
                    <w:top w:val="nil"/>
                    <w:left w:val="single" w:color="auto" w:sz="4" w:space="0"/>
                    <w:bottom w:val="single" w:color="auto" w:sz="4" w:space="0"/>
                    <w:right w:val="single" w:color="auto" w:sz="4" w:space="0"/>
                  </w:tcBorders>
                  <w:vAlign w:val="center"/>
                </w:tcPr>
                <w:p>
                  <w:pPr>
                    <w:widowControl/>
                    <w:spacing w:line="360" w:lineRule="exact"/>
                    <w:ind w:left="-55" w:leftChars="-25" w:right="-55" w:rightChars="-25"/>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过期、淘汰、变质或者被污染的废弃的药品。</w:t>
                  </w:r>
                </w:p>
              </w:tc>
              <w:tc>
                <w:tcPr>
                  <w:tcW w:w="628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100" w:line="360" w:lineRule="exact"/>
                    <w:textAlignment w:val="auto"/>
                    <w:outlineLvl w:val="9"/>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1、废弃的一般性药品，如：抗生素、非处方类药品等。</w:t>
                  </w:r>
                </w:p>
              </w:tc>
            </w:tr>
            <w:tr>
              <w:tblPrEx>
                <w:tblLayout w:type="fixed"/>
                <w:tblCellMar>
                  <w:top w:w="0" w:type="dxa"/>
                  <w:left w:w="108" w:type="dxa"/>
                  <w:bottom w:w="0" w:type="dxa"/>
                  <w:right w:w="108" w:type="dxa"/>
                </w:tblCellMar>
              </w:tblPrEx>
              <w:trPr>
                <w:trHeight w:val="632" w:hRule="atLeast"/>
              </w:trPr>
              <w:tc>
                <w:tcPr>
                  <w:tcW w:w="735" w:type="dxa"/>
                  <w:vMerge w:val="continue"/>
                  <w:tcBorders>
                    <w:top w:val="nil"/>
                    <w:left w:val="single" w:color="auto" w:sz="4" w:space="0"/>
                    <w:bottom w:val="single" w:color="auto" w:sz="4" w:space="0"/>
                    <w:right w:val="single" w:color="auto" w:sz="4" w:space="0"/>
                  </w:tcBorders>
                  <w:vAlign w:val="center"/>
                </w:tcPr>
                <w:p>
                  <w:pPr>
                    <w:widowControl/>
                    <w:spacing w:line="360" w:lineRule="exact"/>
                    <w:rPr>
                      <w:rFonts w:hint="eastAsia" w:ascii="宋体" w:hAnsi="宋体" w:eastAsia="宋体" w:cs="宋体"/>
                      <w:color w:val="000000"/>
                      <w:kern w:val="0"/>
                      <w:sz w:val="21"/>
                      <w:szCs w:val="21"/>
                    </w:rPr>
                  </w:pPr>
                </w:p>
              </w:tc>
              <w:tc>
                <w:tcPr>
                  <w:tcW w:w="1570" w:type="dxa"/>
                  <w:vMerge w:val="continue"/>
                  <w:tcBorders>
                    <w:top w:val="nil"/>
                    <w:left w:val="single" w:color="auto" w:sz="4" w:space="0"/>
                    <w:bottom w:val="single" w:color="auto" w:sz="4" w:space="0"/>
                    <w:right w:val="single" w:color="auto" w:sz="4" w:space="0"/>
                  </w:tcBorders>
                  <w:vAlign w:val="center"/>
                </w:tcPr>
                <w:p>
                  <w:pPr>
                    <w:widowControl/>
                    <w:spacing w:line="360" w:lineRule="exact"/>
                    <w:ind w:left="-55" w:leftChars="-25" w:right="-55" w:rightChars="-25"/>
                    <w:rPr>
                      <w:rFonts w:hint="eastAsia" w:ascii="宋体" w:hAnsi="宋体" w:eastAsia="宋体" w:cs="宋体"/>
                      <w:color w:val="000000"/>
                      <w:kern w:val="0"/>
                      <w:sz w:val="21"/>
                      <w:szCs w:val="21"/>
                    </w:rPr>
                  </w:pPr>
                </w:p>
              </w:tc>
              <w:tc>
                <w:tcPr>
                  <w:tcW w:w="628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100" w:line="360" w:lineRule="exact"/>
                    <w:textAlignment w:val="auto"/>
                    <w:outlineLvl w:val="9"/>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2、废弃的细胞毒性药物和遗传毒性药物，包括：</w:t>
                  </w:r>
                </w:p>
                <w:p>
                  <w:pPr>
                    <w:keepNext w:val="0"/>
                    <w:keepLines w:val="0"/>
                    <w:pageBreakBefore w:val="0"/>
                    <w:widowControl/>
                    <w:kinsoku/>
                    <w:wordWrap/>
                    <w:overflowPunct/>
                    <w:topLinePunct w:val="0"/>
                    <w:autoSpaceDE/>
                    <w:autoSpaceDN/>
                    <w:bidi w:val="0"/>
                    <w:adjustRightInd w:val="0"/>
                    <w:snapToGrid w:val="0"/>
                    <w:spacing w:after="100" w:line="360" w:lineRule="exact"/>
                    <w:textAlignment w:val="auto"/>
                    <w:outlineLvl w:val="9"/>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——致癌性药物，如硫唑嘌呤、苯丁酸氮芥、萘氮芥、环孢霉素、</w:t>
                  </w:r>
                </w:p>
                <w:p>
                  <w:pPr>
                    <w:keepNext w:val="0"/>
                    <w:keepLines w:val="0"/>
                    <w:pageBreakBefore w:val="0"/>
                    <w:widowControl/>
                    <w:kinsoku/>
                    <w:wordWrap/>
                    <w:overflowPunct/>
                    <w:topLinePunct w:val="0"/>
                    <w:autoSpaceDE/>
                    <w:autoSpaceDN/>
                    <w:bidi w:val="0"/>
                    <w:adjustRightInd w:val="0"/>
                    <w:snapToGrid w:val="0"/>
                    <w:spacing w:after="100" w:line="360" w:lineRule="exact"/>
                    <w:textAlignment w:val="auto"/>
                    <w:outlineLvl w:val="9"/>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环磷酰胺、苯丙胺酸氮芥、司莫司汀、三苯氧氨、硫替派等；</w:t>
                  </w:r>
                </w:p>
                <w:p>
                  <w:pPr>
                    <w:keepNext w:val="0"/>
                    <w:keepLines w:val="0"/>
                    <w:pageBreakBefore w:val="0"/>
                    <w:widowControl/>
                    <w:kinsoku/>
                    <w:wordWrap/>
                    <w:overflowPunct/>
                    <w:topLinePunct w:val="0"/>
                    <w:autoSpaceDE/>
                    <w:autoSpaceDN/>
                    <w:bidi w:val="0"/>
                    <w:adjustRightInd w:val="0"/>
                    <w:snapToGrid w:val="0"/>
                    <w:spacing w:after="100" w:line="360" w:lineRule="exact"/>
                    <w:textAlignment w:val="auto"/>
                    <w:outlineLvl w:val="9"/>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——可疑致癌性药物，如：顺铂、丝裂霉素、阿霉素、苯巴比妥等；</w:t>
                  </w:r>
                </w:p>
                <w:p>
                  <w:pPr>
                    <w:keepNext w:val="0"/>
                    <w:keepLines w:val="0"/>
                    <w:pageBreakBefore w:val="0"/>
                    <w:widowControl/>
                    <w:kinsoku/>
                    <w:wordWrap/>
                    <w:overflowPunct/>
                    <w:topLinePunct w:val="0"/>
                    <w:autoSpaceDE/>
                    <w:autoSpaceDN/>
                    <w:bidi w:val="0"/>
                    <w:adjustRightInd w:val="0"/>
                    <w:snapToGrid w:val="0"/>
                    <w:spacing w:after="100" w:line="360" w:lineRule="exact"/>
                    <w:textAlignment w:val="auto"/>
                    <w:outlineLvl w:val="9"/>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——免疫抑制剂。</w:t>
                  </w:r>
                </w:p>
              </w:tc>
            </w:tr>
            <w:tr>
              <w:tblPrEx>
                <w:tblLayout w:type="fixed"/>
                <w:tblCellMar>
                  <w:top w:w="0" w:type="dxa"/>
                  <w:left w:w="108" w:type="dxa"/>
                  <w:bottom w:w="0" w:type="dxa"/>
                  <w:right w:w="108" w:type="dxa"/>
                </w:tblCellMar>
              </w:tblPrEx>
              <w:trPr>
                <w:trHeight w:val="56" w:hRule="atLeast"/>
              </w:trPr>
              <w:tc>
                <w:tcPr>
                  <w:tcW w:w="735" w:type="dxa"/>
                  <w:vMerge w:val="continue"/>
                  <w:tcBorders>
                    <w:top w:val="nil"/>
                    <w:left w:val="single" w:color="auto" w:sz="4" w:space="0"/>
                    <w:bottom w:val="single" w:color="auto" w:sz="4" w:space="0"/>
                    <w:right w:val="single" w:color="auto" w:sz="4" w:space="0"/>
                  </w:tcBorders>
                  <w:vAlign w:val="center"/>
                </w:tcPr>
                <w:p>
                  <w:pPr>
                    <w:widowControl/>
                    <w:spacing w:line="360" w:lineRule="exact"/>
                    <w:rPr>
                      <w:rFonts w:hint="eastAsia" w:ascii="宋体" w:hAnsi="宋体" w:eastAsia="宋体" w:cs="宋体"/>
                      <w:color w:val="000000"/>
                      <w:kern w:val="0"/>
                      <w:sz w:val="21"/>
                      <w:szCs w:val="21"/>
                    </w:rPr>
                  </w:pPr>
                </w:p>
              </w:tc>
              <w:tc>
                <w:tcPr>
                  <w:tcW w:w="1570" w:type="dxa"/>
                  <w:vMerge w:val="continue"/>
                  <w:tcBorders>
                    <w:top w:val="nil"/>
                    <w:left w:val="single" w:color="auto" w:sz="4" w:space="0"/>
                    <w:bottom w:val="single" w:color="auto" w:sz="4" w:space="0"/>
                    <w:right w:val="single" w:color="auto" w:sz="4" w:space="0"/>
                  </w:tcBorders>
                  <w:vAlign w:val="center"/>
                </w:tcPr>
                <w:p>
                  <w:pPr>
                    <w:widowControl/>
                    <w:spacing w:line="360" w:lineRule="exact"/>
                    <w:ind w:left="-55" w:leftChars="-25" w:right="-55" w:rightChars="-25"/>
                    <w:rPr>
                      <w:rFonts w:hint="eastAsia" w:ascii="宋体" w:hAnsi="宋体" w:eastAsia="宋体" w:cs="宋体"/>
                      <w:color w:val="000000"/>
                      <w:kern w:val="0"/>
                      <w:sz w:val="21"/>
                      <w:szCs w:val="21"/>
                    </w:rPr>
                  </w:pPr>
                </w:p>
              </w:tc>
              <w:tc>
                <w:tcPr>
                  <w:tcW w:w="628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100" w:line="360" w:lineRule="exact"/>
                    <w:textAlignment w:val="auto"/>
                    <w:outlineLvl w:val="9"/>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3、废弃的疫苗、血液制品等。</w:t>
                  </w:r>
                </w:p>
              </w:tc>
            </w:tr>
            <w:tr>
              <w:tblPrEx>
                <w:tblLayout w:type="fixed"/>
                <w:tblCellMar>
                  <w:top w:w="0" w:type="dxa"/>
                  <w:left w:w="108" w:type="dxa"/>
                  <w:bottom w:w="0" w:type="dxa"/>
                  <w:right w:w="108" w:type="dxa"/>
                </w:tblCellMar>
              </w:tblPrEx>
              <w:trPr>
                <w:trHeight w:val="60" w:hRule="atLeast"/>
              </w:trPr>
              <w:tc>
                <w:tcPr>
                  <w:tcW w:w="735" w:type="dxa"/>
                  <w:vMerge w:val="restart"/>
                  <w:tcBorders>
                    <w:top w:val="nil"/>
                    <w:left w:val="single" w:color="auto" w:sz="4" w:space="0"/>
                    <w:bottom w:val="single" w:color="auto" w:sz="4" w:space="0"/>
                    <w:right w:val="single" w:color="auto" w:sz="4" w:space="0"/>
                  </w:tcBorders>
                  <w:vAlign w:val="center"/>
                </w:tcPr>
                <w:p>
                  <w:pPr>
                    <w:widowControl/>
                    <w:spacing w:line="360" w:lineRule="exact"/>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化学性废物</w:t>
                  </w:r>
                </w:p>
              </w:tc>
              <w:tc>
                <w:tcPr>
                  <w:tcW w:w="1570" w:type="dxa"/>
                  <w:vMerge w:val="restart"/>
                  <w:tcBorders>
                    <w:top w:val="nil"/>
                    <w:left w:val="single" w:color="auto" w:sz="4" w:space="0"/>
                    <w:bottom w:val="single" w:color="auto" w:sz="4" w:space="0"/>
                    <w:right w:val="single" w:color="auto" w:sz="4" w:space="0"/>
                  </w:tcBorders>
                  <w:vAlign w:val="center"/>
                </w:tcPr>
                <w:p>
                  <w:pPr>
                    <w:widowControl/>
                    <w:spacing w:line="360" w:lineRule="exact"/>
                    <w:ind w:left="-55" w:leftChars="-25" w:right="-55" w:rightChars="-25"/>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具有毒性、腐蚀性、易燃易爆性的废弃的化学物品。</w:t>
                  </w:r>
                </w:p>
              </w:tc>
              <w:tc>
                <w:tcPr>
                  <w:tcW w:w="628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100" w:line="360" w:lineRule="exact"/>
                    <w:textAlignment w:val="auto"/>
                    <w:outlineLvl w:val="9"/>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1、医学影像室、实验室废弃的化学试剂。</w:t>
                  </w:r>
                </w:p>
              </w:tc>
            </w:tr>
            <w:tr>
              <w:tblPrEx>
                <w:tblLayout w:type="fixed"/>
                <w:tblCellMar>
                  <w:top w:w="0" w:type="dxa"/>
                  <w:left w:w="108" w:type="dxa"/>
                  <w:bottom w:w="0" w:type="dxa"/>
                  <w:right w:w="108" w:type="dxa"/>
                </w:tblCellMar>
              </w:tblPrEx>
              <w:trPr>
                <w:trHeight w:val="60" w:hRule="atLeast"/>
              </w:trPr>
              <w:tc>
                <w:tcPr>
                  <w:tcW w:w="735" w:type="dxa"/>
                  <w:vMerge w:val="continue"/>
                  <w:tcBorders>
                    <w:top w:val="nil"/>
                    <w:left w:val="single" w:color="auto" w:sz="4" w:space="0"/>
                    <w:bottom w:val="single" w:color="auto" w:sz="4" w:space="0"/>
                    <w:right w:val="single" w:color="auto" w:sz="4" w:space="0"/>
                  </w:tcBorders>
                  <w:vAlign w:val="center"/>
                </w:tcPr>
                <w:p>
                  <w:pPr>
                    <w:widowControl/>
                    <w:spacing w:line="360" w:lineRule="exact"/>
                    <w:rPr>
                      <w:rFonts w:hint="eastAsia" w:ascii="宋体" w:hAnsi="宋体" w:eastAsia="宋体" w:cs="宋体"/>
                      <w:color w:val="000000"/>
                      <w:kern w:val="0"/>
                      <w:sz w:val="21"/>
                      <w:szCs w:val="21"/>
                    </w:rPr>
                  </w:pPr>
                </w:p>
              </w:tc>
              <w:tc>
                <w:tcPr>
                  <w:tcW w:w="157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int="eastAsia" w:ascii="宋体" w:hAnsi="宋体" w:eastAsia="宋体" w:cs="宋体"/>
                      <w:color w:val="000000"/>
                      <w:kern w:val="0"/>
                      <w:sz w:val="21"/>
                      <w:szCs w:val="21"/>
                    </w:rPr>
                  </w:pPr>
                </w:p>
              </w:tc>
              <w:tc>
                <w:tcPr>
                  <w:tcW w:w="628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100" w:line="360" w:lineRule="exact"/>
                    <w:textAlignment w:val="auto"/>
                    <w:outlineLvl w:val="9"/>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2、废弃的过氧乙酸、戊二醛等化学消毒剂。</w:t>
                  </w:r>
                </w:p>
              </w:tc>
            </w:tr>
            <w:tr>
              <w:tblPrEx>
                <w:tblLayout w:type="fixed"/>
                <w:tblCellMar>
                  <w:top w:w="0" w:type="dxa"/>
                  <w:left w:w="108" w:type="dxa"/>
                  <w:bottom w:w="0" w:type="dxa"/>
                  <w:right w:w="108" w:type="dxa"/>
                </w:tblCellMar>
              </w:tblPrEx>
              <w:trPr>
                <w:trHeight w:val="60" w:hRule="atLeast"/>
              </w:trPr>
              <w:tc>
                <w:tcPr>
                  <w:tcW w:w="735" w:type="dxa"/>
                  <w:vMerge w:val="continue"/>
                  <w:tcBorders>
                    <w:top w:val="nil"/>
                    <w:left w:val="single" w:color="auto" w:sz="4" w:space="0"/>
                    <w:bottom w:val="single" w:color="auto" w:sz="4" w:space="0"/>
                    <w:right w:val="single" w:color="auto" w:sz="4" w:space="0"/>
                  </w:tcBorders>
                  <w:vAlign w:val="center"/>
                </w:tcPr>
                <w:p>
                  <w:pPr>
                    <w:widowControl/>
                    <w:spacing w:line="360" w:lineRule="exact"/>
                    <w:rPr>
                      <w:rFonts w:hint="eastAsia" w:ascii="宋体" w:hAnsi="宋体" w:eastAsia="宋体" w:cs="宋体"/>
                      <w:color w:val="000000"/>
                      <w:kern w:val="0"/>
                      <w:sz w:val="21"/>
                      <w:szCs w:val="21"/>
                    </w:rPr>
                  </w:pPr>
                </w:p>
              </w:tc>
              <w:tc>
                <w:tcPr>
                  <w:tcW w:w="157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int="eastAsia" w:ascii="宋体" w:hAnsi="宋体" w:eastAsia="宋体" w:cs="宋体"/>
                      <w:color w:val="000000"/>
                      <w:kern w:val="0"/>
                      <w:sz w:val="21"/>
                      <w:szCs w:val="21"/>
                    </w:rPr>
                  </w:pPr>
                </w:p>
              </w:tc>
              <w:tc>
                <w:tcPr>
                  <w:tcW w:w="628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100" w:line="360" w:lineRule="exact"/>
                    <w:textAlignment w:val="auto"/>
                    <w:outlineLvl w:val="9"/>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3、废弃的汞血压计、汞温度计。</w:t>
                  </w:r>
                </w:p>
              </w:tc>
            </w:tr>
          </w:tbl>
          <w:p>
            <w:pPr>
              <w:keepNext w:val="0"/>
              <w:keepLines w:val="0"/>
              <w:pageBreakBefore w:val="0"/>
              <w:widowControl w:val="0"/>
              <w:kinsoku/>
              <w:overflowPunct/>
              <w:topLinePunct w:val="0"/>
              <w:autoSpaceDE/>
              <w:autoSpaceDN/>
              <w:bidi w:val="0"/>
              <w:adjustRightInd w:val="0"/>
              <w:snapToGrid w:val="0"/>
              <w:spacing w:after="0"/>
              <w:jc w:val="left"/>
              <w:textAlignment w:val="auto"/>
              <w:rPr>
                <w:rFonts w:hint="eastAsia" w:ascii="宋体" w:hAnsi="宋体" w:eastAsia="宋体" w:cs="宋体"/>
                <w:b/>
                <w:bCs/>
                <w:color w:val="000000"/>
                <w:sz w:val="21"/>
                <w:szCs w:val="21"/>
                <w:lang w:val="en-US" w:eastAsia="zh-CN"/>
              </w:rPr>
            </w:pPr>
          </w:p>
          <w:p>
            <w:pPr>
              <w:keepNext w:val="0"/>
              <w:keepLines w:val="0"/>
              <w:pageBreakBefore w:val="0"/>
              <w:widowControl w:val="0"/>
              <w:kinsoku/>
              <w:overflowPunct/>
              <w:topLinePunct w:val="0"/>
              <w:autoSpaceDE/>
              <w:autoSpaceDN/>
              <w:bidi w:val="0"/>
              <w:spacing w:line="288" w:lineRule="auto"/>
              <w:ind w:left="220" w:leftChars="100" w:right="220" w:rightChars="100" w:firstLine="420" w:firstLineChars="200"/>
              <w:jc w:val="both"/>
              <w:textAlignment w:val="auto"/>
              <w:rPr>
                <w:rFonts w:hint="eastAsia" w:ascii="宋体" w:hAnsi="宋体" w:eastAsia="宋体" w:cs="宋体"/>
                <w:color w:val="000000"/>
                <w:sz w:val="21"/>
                <w:szCs w:val="21"/>
              </w:rPr>
            </w:pPr>
            <w:bookmarkStart w:id="2" w:name="_Toc16819370"/>
            <w:bookmarkStart w:id="3" w:name="_Toc17555447"/>
            <w:r>
              <w:rPr>
                <w:rFonts w:hint="eastAsia" w:ascii="宋体" w:hAnsi="宋体" w:eastAsia="宋体" w:cs="宋体"/>
                <w:color w:val="000000"/>
                <w:sz w:val="21"/>
                <w:szCs w:val="21"/>
              </w:rPr>
              <w:t>本项目</w:t>
            </w:r>
            <w:r>
              <w:rPr>
                <w:rFonts w:hint="eastAsia" w:ascii="宋体" w:hAnsi="宋体" w:eastAsia="宋体" w:cs="宋体"/>
                <w:color w:val="000000"/>
                <w:sz w:val="21"/>
                <w:szCs w:val="21"/>
                <w:lang w:eastAsia="zh-CN"/>
              </w:rPr>
              <w:t>运营期</w:t>
            </w:r>
            <w:r>
              <w:rPr>
                <w:rFonts w:hint="eastAsia" w:ascii="宋体" w:hAnsi="宋体" w:eastAsia="宋体" w:cs="宋体"/>
                <w:color w:val="000000"/>
                <w:sz w:val="21"/>
                <w:szCs w:val="21"/>
              </w:rPr>
              <w:t>产生</w:t>
            </w:r>
            <w:r>
              <w:rPr>
                <w:rFonts w:hint="eastAsia" w:ascii="宋体" w:hAnsi="宋体" w:eastAsia="宋体" w:cs="宋体"/>
                <w:color w:val="000000"/>
                <w:sz w:val="21"/>
                <w:szCs w:val="21"/>
                <w:lang w:eastAsia="zh-CN"/>
              </w:rPr>
              <w:t>的</w:t>
            </w:r>
            <w:r>
              <w:rPr>
                <w:rFonts w:hint="eastAsia" w:ascii="宋体" w:hAnsi="宋体" w:eastAsia="宋体" w:cs="宋体"/>
                <w:color w:val="000000"/>
                <w:sz w:val="21"/>
                <w:szCs w:val="21"/>
              </w:rPr>
              <w:t>固体废物</w:t>
            </w:r>
            <w:r>
              <w:rPr>
                <w:rFonts w:hint="eastAsia" w:ascii="宋体" w:hAnsi="宋体" w:eastAsia="宋体" w:cs="宋体"/>
                <w:color w:val="000000"/>
                <w:sz w:val="21"/>
                <w:szCs w:val="21"/>
                <w:lang w:eastAsia="zh-CN"/>
              </w:rPr>
              <w:t>主要</w:t>
            </w:r>
            <w:r>
              <w:rPr>
                <w:rFonts w:hint="eastAsia" w:ascii="宋体" w:hAnsi="宋体" w:eastAsia="宋体" w:cs="宋体"/>
                <w:color w:val="000000"/>
                <w:sz w:val="21"/>
                <w:szCs w:val="21"/>
              </w:rPr>
              <w:t>包括医疗废物、普通生活垃圾、</w:t>
            </w:r>
            <w:r>
              <w:rPr>
                <w:rFonts w:hint="eastAsia" w:ascii="宋体" w:hAnsi="宋体" w:eastAsia="宋体" w:cs="宋体"/>
                <w:color w:val="000000"/>
                <w:sz w:val="21"/>
                <w:szCs w:val="21"/>
                <w:lang w:eastAsia="zh-CN"/>
              </w:rPr>
              <w:t>污水</w:t>
            </w:r>
            <w:r>
              <w:rPr>
                <w:rFonts w:hint="eastAsia" w:ascii="宋体" w:hAnsi="宋体" w:eastAsia="宋体" w:cs="宋体"/>
                <w:color w:val="000000"/>
                <w:sz w:val="21"/>
                <w:szCs w:val="21"/>
              </w:rPr>
              <w:t>污泥，</w:t>
            </w:r>
            <w:r>
              <w:rPr>
                <w:rFonts w:hint="eastAsia" w:ascii="宋体" w:hAnsi="宋体" w:eastAsia="宋体" w:cs="宋体"/>
                <w:color w:val="000000"/>
                <w:sz w:val="21"/>
                <w:szCs w:val="21"/>
                <w:lang w:eastAsia="zh-CN"/>
              </w:rPr>
              <w:t>各类固体废物已进行了</w:t>
            </w:r>
            <w:r>
              <w:rPr>
                <w:rFonts w:hint="eastAsia" w:ascii="宋体" w:hAnsi="宋体" w:eastAsia="宋体" w:cs="宋体"/>
                <w:color w:val="000000"/>
                <w:sz w:val="21"/>
                <w:szCs w:val="21"/>
              </w:rPr>
              <w:t>分别收集</w:t>
            </w:r>
            <w:r>
              <w:rPr>
                <w:rFonts w:hint="eastAsia" w:ascii="宋体" w:hAnsi="宋体" w:eastAsia="宋体" w:cs="宋体"/>
                <w:color w:val="000000"/>
                <w:sz w:val="21"/>
                <w:szCs w:val="21"/>
                <w:lang w:eastAsia="zh-CN"/>
              </w:rPr>
              <w:t>和</w:t>
            </w:r>
            <w:r>
              <w:rPr>
                <w:rFonts w:hint="eastAsia" w:ascii="宋体" w:hAnsi="宋体" w:eastAsia="宋体" w:cs="宋体"/>
                <w:color w:val="000000"/>
                <w:sz w:val="21"/>
                <w:szCs w:val="21"/>
              </w:rPr>
              <w:t>处置。</w:t>
            </w:r>
          </w:p>
          <w:p>
            <w:pPr>
              <w:keepNext w:val="0"/>
              <w:keepLines w:val="0"/>
              <w:pageBreakBefore w:val="0"/>
              <w:widowControl w:val="0"/>
              <w:kinsoku/>
              <w:wordWrap/>
              <w:overflowPunct/>
              <w:topLinePunct w:val="0"/>
              <w:autoSpaceDE/>
              <w:autoSpaceDN/>
              <w:bidi w:val="0"/>
              <w:adjustRightInd w:val="0"/>
              <w:snapToGrid w:val="0"/>
              <w:spacing w:after="0" w:line="288" w:lineRule="auto"/>
              <w:ind w:left="220" w:leftChars="100" w:right="220" w:rightChars="100" w:firstLine="420" w:firstLineChars="200"/>
              <w:jc w:val="both"/>
              <w:textAlignment w:val="auto"/>
              <w:outlineLvl w:val="9"/>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①</w:t>
            </w:r>
            <w:r>
              <w:rPr>
                <w:rFonts w:hint="eastAsia" w:ascii="宋体" w:hAnsi="宋体" w:eastAsia="宋体" w:cs="宋体"/>
                <w:color w:val="000000"/>
                <w:sz w:val="21"/>
                <w:szCs w:val="21"/>
              </w:rPr>
              <w:t>医疗废物</w:t>
            </w:r>
          </w:p>
          <w:p>
            <w:pPr>
              <w:keepNext w:val="0"/>
              <w:keepLines w:val="0"/>
              <w:pageBreakBefore w:val="0"/>
              <w:widowControl w:val="0"/>
              <w:kinsoku/>
              <w:overflowPunct/>
              <w:topLinePunct w:val="0"/>
              <w:autoSpaceDE/>
              <w:autoSpaceDN/>
              <w:bidi w:val="0"/>
              <w:spacing w:line="288" w:lineRule="auto"/>
              <w:ind w:left="220" w:leftChars="100" w:right="220" w:rightChars="100" w:firstLine="420" w:firstLineChars="200"/>
              <w:jc w:val="both"/>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val="en-US" w:eastAsia="zh-CN"/>
              </w:rPr>
              <w:t>由于</w:t>
            </w:r>
            <w:r>
              <w:rPr>
                <w:rFonts w:hint="eastAsia" w:ascii="宋体" w:hAnsi="宋体" w:eastAsia="宋体" w:cs="宋体"/>
                <w:color w:val="000000"/>
                <w:sz w:val="21"/>
                <w:szCs w:val="21"/>
              </w:rPr>
              <w:t>本</w:t>
            </w:r>
            <w:r>
              <w:rPr>
                <w:rFonts w:hint="eastAsia" w:ascii="宋体" w:hAnsi="宋体" w:eastAsia="宋体" w:cs="宋体"/>
                <w:color w:val="000000"/>
                <w:sz w:val="21"/>
                <w:szCs w:val="21"/>
                <w:lang w:val="en-US" w:eastAsia="zh-CN"/>
              </w:rPr>
              <w:t>服务站当前</w:t>
            </w:r>
            <w:r>
              <w:rPr>
                <w:rFonts w:hint="eastAsia" w:ascii="宋体" w:hAnsi="宋体" w:eastAsia="宋体" w:cs="宋体"/>
                <w:color w:val="000000"/>
                <w:sz w:val="21"/>
                <w:szCs w:val="21"/>
                <w:lang w:eastAsia="zh-CN"/>
              </w:rPr>
              <w:t>处于初始运营阶段，因此</w:t>
            </w:r>
            <w:r>
              <w:rPr>
                <w:rFonts w:hint="eastAsia" w:ascii="宋体" w:hAnsi="宋体" w:eastAsia="宋体" w:cs="宋体"/>
                <w:color w:val="000000"/>
                <w:sz w:val="21"/>
                <w:szCs w:val="21"/>
              </w:rPr>
              <w:t>医疗废物</w:t>
            </w:r>
            <w:r>
              <w:rPr>
                <w:rFonts w:hint="eastAsia" w:ascii="宋体" w:hAnsi="宋体" w:eastAsia="宋体" w:cs="宋体"/>
                <w:color w:val="000000"/>
                <w:sz w:val="21"/>
                <w:szCs w:val="21"/>
                <w:lang w:eastAsia="zh-CN"/>
              </w:rPr>
              <w:t>产生量极少，服务站产生的</w:t>
            </w:r>
            <w:r>
              <w:rPr>
                <w:rFonts w:hint="eastAsia" w:ascii="宋体" w:hAnsi="宋体" w:eastAsia="宋体" w:cs="宋体"/>
                <w:color w:val="000000"/>
                <w:sz w:val="21"/>
                <w:szCs w:val="21"/>
              </w:rPr>
              <w:t>医疗废物</w:t>
            </w:r>
            <w:r>
              <w:rPr>
                <w:rFonts w:hint="eastAsia" w:ascii="宋体" w:hAnsi="宋体" w:eastAsia="宋体" w:cs="宋体"/>
                <w:color w:val="000000"/>
                <w:sz w:val="21"/>
                <w:szCs w:val="21"/>
                <w:lang w:eastAsia="zh-CN"/>
              </w:rPr>
              <w:t>当前处理方式是定期分类收集后运送至贵州省肿瘤医院总院（贵阳市云岩区双峰路</w:t>
            </w:r>
            <w:r>
              <w:rPr>
                <w:rFonts w:hint="eastAsia" w:ascii="宋体" w:hAnsi="宋体" w:eastAsia="宋体" w:cs="宋体"/>
                <w:color w:val="000000"/>
                <w:sz w:val="21"/>
                <w:szCs w:val="21"/>
                <w:lang w:val="en-US" w:eastAsia="zh-CN"/>
              </w:rPr>
              <w:t>54号</w:t>
            </w:r>
            <w:r>
              <w:rPr>
                <w:rFonts w:hint="eastAsia" w:ascii="宋体" w:hAnsi="宋体" w:eastAsia="宋体" w:cs="宋体"/>
                <w:color w:val="000000"/>
                <w:sz w:val="21"/>
                <w:szCs w:val="21"/>
                <w:lang w:eastAsia="zh-CN"/>
              </w:rPr>
              <w:t>）交于贵阳市城投环境资产投资管理有限公司统一处理。待后期正常运营以后，再单独签署危险废物集中处理处置协议书。</w:t>
            </w:r>
          </w:p>
          <w:p>
            <w:pPr>
              <w:keepNext w:val="0"/>
              <w:keepLines w:val="0"/>
              <w:pageBreakBefore w:val="0"/>
              <w:widowControl w:val="0"/>
              <w:kinsoku/>
              <w:wordWrap/>
              <w:overflowPunct/>
              <w:topLinePunct w:val="0"/>
              <w:autoSpaceDE/>
              <w:autoSpaceDN/>
              <w:bidi w:val="0"/>
              <w:adjustRightInd w:val="0"/>
              <w:snapToGrid w:val="0"/>
              <w:spacing w:after="0" w:line="288" w:lineRule="auto"/>
              <w:ind w:left="220" w:leftChars="100" w:right="220" w:rightChars="100" w:firstLine="420" w:firstLineChars="200"/>
              <w:jc w:val="both"/>
              <w:textAlignment w:val="auto"/>
              <w:outlineLvl w:val="9"/>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②化粪池污泥</w:t>
            </w:r>
          </w:p>
          <w:p>
            <w:pPr>
              <w:keepNext w:val="0"/>
              <w:keepLines w:val="0"/>
              <w:pageBreakBefore w:val="0"/>
              <w:widowControl w:val="0"/>
              <w:kinsoku/>
              <w:overflowPunct/>
              <w:topLinePunct w:val="0"/>
              <w:autoSpaceDE/>
              <w:autoSpaceDN/>
              <w:bidi w:val="0"/>
              <w:spacing w:line="288" w:lineRule="auto"/>
              <w:ind w:left="220" w:leftChars="100" w:right="220" w:rightChars="100" w:firstLine="420" w:firstLineChars="200"/>
              <w:jc w:val="both"/>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eastAsia="zh-CN"/>
              </w:rPr>
              <w:t>化粪池污泥定期由贵阳市城投环境资产投资管理有限公司运输处理。</w:t>
            </w:r>
          </w:p>
          <w:p>
            <w:pPr>
              <w:keepNext w:val="0"/>
              <w:keepLines w:val="0"/>
              <w:pageBreakBefore w:val="0"/>
              <w:widowControl w:val="0"/>
              <w:kinsoku/>
              <w:wordWrap w:val="0"/>
              <w:overflowPunct/>
              <w:topLinePunct w:val="0"/>
              <w:autoSpaceDE/>
              <w:autoSpaceDN/>
              <w:bidi w:val="0"/>
              <w:adjustRightInd w:val="0"/>
              <w:snapToGrid w:val="0"/>
              <w:spacing w:after="0" w:line="288" w:lineRule="auto"/>
              <w:ind w:left="220" w:leftChars="100" w:right="220" w:rightChars="100" w:firstLine="420" w:firstLineChars="200"/>
              <w:jc w:val="both"/>
              <w:textAlignment w:val="auto"/>
              <w:outlineLvl w:val="9"/>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③生活垃圾处理</w:t>
            </w:r>
            <w:bookmarkStart w:id="7" w:name="_GoBack"/>
            <w:bookmarkEnd w:id="7"/>
          </w:p>
          <w:p>
            <w:pPr>
              <w:keepNext w:val="0"/>
              <w:keepLines w:val="0"/>
              <w:pageBreakBefore w:val="0"/>
              <w:widowControl w:val="0"/>
              <w:kinsoku/>
              <w:overflowPunct/>
              <w:topLinePunct w:val="0"/>
              <w:autoSpaceDE/>
              <w:autoSpaceDN/>
              <w:bidi w:val="0"/>
              <w:spacing w:line="288" w:lineRule="auto"/>
              <w:ind w:left="220" w:leftChars="100" w:right="220" w:rightChars="100" w:firstLine="420" w:firstLineChars="200"/>
              <w:jc w:val="both"/>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生活垃圾统一收集集中后</w:t>
            </w:r>
            <w:r>
              <w:rPr>
                <w:rFonts w:hint="eastAsia" w:ascii="宋体" w:hAnsi="宋体" w:eastAsia="宋体" w:cs="宋体"/>
                <w:color w:val="000000"/>
                <w:sz w:val="21"/>
                <w:szCs w:val="21"/>
                <w:lang w:val="en-US" w:eastAsia="zh-CN"/>
              </w:rPr>
              <w:t>清运至社区</w:t>
            </w:r>
            <w:r>
              <w:rPr>
                <w:rFonts w:hint="eastAsia" w:ascii="宋体" w:hAnsi="宋体" w:eastAsia="宋体" w:cs="宋体"/>
                <w:color w:val="000000"/>
                <w:sz w:val="21"/>
                <w:szCs w:val="21"/>
              </w:rPr>
              <w:t>生活垃圾收集站，由市政环卫部门送贵阳市</w:t>
            </w:r>
            <w:r>
              <w:rPr>
                <w:rFonts w:hint="eastAsia" w:ascii="宋体" w:hAnsi="宋体" w:eastAsia="宋体" w:cs="宋体"/>
                <w:color w:val="000000"/>
                <w:sz w:val="21"/>
                <w:szCs w:val="21"/>
                <w:lang w:val="en-US" w:eastAsia="zh-CN"/>
              </w:rPr>
              <w:t>比例坝</w:t>
            </w:r>
            <w:r>
              <w:rPr>
                <w:rFonts w:hint="eastAsia" w:ascii="宋体" w:hAnsi="宋体" w:eastAsia="宋体" w:cs="宋体"/>
                <w:color w:val="000000"/>
                <w:sz w:val="21"/>
                <w:szCs w:val="21"/>
              </w:rPr>
              <w:t>生活垃圾填埋场卫生填埋。</w:t>
            </w:r>
          </w:p>
          <w:p>
            <w:pPr>
              <w:keepNext w:val="0"/>
              <w:keepLines w:val="0"/>
              <w:pageBreakBefore w:val="0"/>
              <w:widowControl w:val="0"/>
              <w:kinsoku/>
              <w:wordWrap w:val="0"/>
              <w:overflowPunct/>
              <w:topLinePunct w:val="0"/>
              <w:autoSpaceDE/>
              <w:autoSpaceDN/>
              <w:bidi w:val="0"/>
              <w:adjustRightInd w:val="0"/>
              <w:snapToGrid w:val="0"/>
              <w:spacing w:after="0" w:line="360" w:lineRule="auto"/>
              <w:ind w:left="209" w:leftChars="95" w:firstLine="0" w:firstLineChars="0"/>
              <w:jc w:val="both"/>
              <w:textAlignment w:val="auto"/>
              <w:outlineLvl w:val="9"/>
              <w:rPr>
                <w:rFonts w:hint="eastAsia" w:ascii="宋体" w:hAnsi="宋体" w:eastAsia="宋体" w:cs="宋体"/>
                <w:b/>
                <w:bCs/>
                <w:color w:val="000000"/>
                <w:sz w:val="21"/>
                <w:szCs w:val="21"/>
                <w:lang w:val="en-US" w:eastAsia="zh-CN"/>
              </w:rPr>
            </w:pPr>
            <w:bookmarkStart w:id="4" w:name="_Toc30198"/>
            <w:r>
              <w:rPr>
                <w:rFonts w:hint="eastAsia" w:ascii="宋体" w:hAnsi="宋体" w:eastAsia="宋体" w:cs="宋体"/>
                <w:b/>
                <w:bCs/>
                <w:color w:val="000000"/>
                <w:sz w:val="21"/>
                <w:szCs w:val="21"/>
                <w:lang w:val="en-US" w:eastAsia="zh-CN"/>
              </w:rPr>
              <w:t>3、其他环保设施</w:t>
            </w:r>
            <w:bookmarkEnd w:id="4"/>
          </w:p>
          <w:p>
            <w:pPr>
              <w:keepNext w:val="0"/>
              <w:keepLines w:val="0"/>
              <w:pageBreakBefore w:val="0"/>
              <w:widowControl w:val="0"/>
              <w:kinsoku/>
              <w:wordWrap w:val="0"/>
              <w:overflowPunct/>
              <w:topLinePunct w:val="0"/>
              <w:autoSpaceDE/>
              <w:autoSpaceDN/>
              <w:bidi w:val="0"/>
              <w:adjustRightInd w:val="0"/>
              <w:snapToGrid w:val="0"/>
              <w:spacing w:after="0" w:line="288" w:lineRule="auto"/>
              <w:ind w:right="220" w:rightChars="100" w:firstLine="420" w:firstLineChars="200"/>
              <w:jc w:val="both"/>
              <w:textAlignment w:val="auto"/>
              <w:outlineLvl w:val="9"/>
              <w:rPr>
                <w:rFonts w:hint="eastAsia" w:ascii="宋体" w:hAnsi="宋体" w:eastAsia="宋体" w:cs="宋体"/>
                <w:b w:val="0"/>
                <w:bCs/>
                <w:color w:val="000000"/>
                <w:sz w:val="21"/>
                <w:szCs w:val="21"/>
                <w:lang w:val="en-US" w:eastAsia="zh-CN"/>
              </w:rPr>
            </w:pPr>
            <w:bookmarkStart w:id="5" w:name="_Toc27604"/>
            <w:r>
              <w:rPr>
                <w:rFonts w:hint="eastAsia" w:ascii="宋体" w:hAnsi="宋体" w:eastAsia="宋体" w:cs="宋体"/>
                <w:b w:val="0"/>
                <w:bCs/>
                <w:color w:val="000000"/>
                <w:sz w:val="21"/>
                <w:szCs w:val="21"/>
                <w:lang w:val="en-US" w:eastAsia="zh-CN"/>
              </w:rPr>
              <w:t>（1） 在线监测装置</w:t>
            </w:r>
            <w:bookmarkEnd w:id="5"/>
          </w:p>
          <w:p>
            <w:pPr>
              <w:keepNext w:val="0"/>
              <w:keepLines w:val="0"/>
              <w:pageBreakBefore w:val="0"/>
              <w:widowControl w:val="0"/>
              <w:kinsoku/>
              <w:wordWrap w:val="0"/>
              <w:overflowPunct/>
              <w:topLinePunct w:val="0"/>
              <w:autoSpaceDE/>
              <w:autoSpaceDN/>
              <w:bidi w:val="0"/>
              <w:adjustRightInd w:val="0"/>
              <w:snapToGrid w:val="0"/>
              <w:spacing w:after="0" w:line="288" w:lineRule="auto"/>
              <w:ind w:right="220" w:rightChars="100" w:firstLine="420" w:firstLineChars="200"/>
              <w:jc w:val="both"/>
              <w:textAlignment w:val="auto"/>
              <w:outlineLvl w:val="9"/>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本项目环评报告及审批意见文件未要求安装废水、废气在线监测系统，因此项目未设置在线监测设施。</w:t>
            </w:r>
          </w:p>
          <w:p>
            <w:pPr>
              <w:keepNext w:val="0"/>
              <w:keepLines w:val="0"/>
              <w:pageBreakBefore w:val="0"/>
              <w:widowControl w:val="0"/>
              <w:kinsoku/>
              <w:wordWrap w:val="0"/>
              <w:overflowPunct/>
              <w:topLinePunct w:val="0"/>
              <w:autoSpaceDE/>
              <w:autoSpaceDN/>
              <w:bidi w:val="0"/>
              <w:adjustRightInd w:val="0"/>
              <w:snapToGrid w:val="0"/>
              <w:spacing w:after="0" w:line="288" w:lineRule="auto"/>
              <w:ind w:right="220" w:rightChars="100" w:firstLine="420" w:firstLineChars="200"/>
              <w:jc w:val="both"/>
              <w:textAlignment w:val="auto"/>
              <w:outlineLvl w:val="9"/>
              <w:rPr>
                <w:rFonts w:hint="eastAsia" w:ascii="宋体" w:hAnsi="宋体" w:eastAsia="宋体" w:cs="宋体"/>
                <w:b w:val="0"/>
                <w:bCs/>
                <w:color w:val="000000"/>
                <w:sz w:val="21"/>
                <w:szCs w:val="21"/>
                <w:lang w:val="en-US" w:eastAsia="zh-CN"/>
              </w:rPr>
            </w:pPr>
            <w:bookmarkStart w:id="6" w:name="_Toc18980"/>
            <w:r>
              <w:rPr>
                <w:rFonts w:hint="eastAsia" w:ascii="宋体" w:hAnsi="宋体" w:eastAsia="宋体" w:cs="宋体"/>
                <w:b w:val="0"/>
                <w:bCs/>
                <w:color w:val="000000"/>
                <w:sz w:val="21"/>
                <w:szCs w:val="21"/>
                <w:lang w:val="en-US" w:eastAsia="zh-CN"/>
              </w:rPr>
              <w:t>（2）其他设施</w:t>
            </w:r>
            <w:bookmarkEnd w:id="6"/>
          </w:p>
          <w:p>
            <w:pPr>
              <w:keepNext w:val="0"/>
              <w:keepLines w:val="0"/>
              <w:pageBreakBefore w:val="0"/>
              <w:widowControl w:val="0"/>
              <w:kinsoku/>
              <w:wordWrap w:val="0"/>
              <w:overflowPunct/>
              <w:topLinePunct w:val="0"/>
              <w:autoSpaceDE/>
              <w:autoSpaceDN/>
              <w:bidi w:val="0"/>
              <w:adjustRightInd w:val="0"/>
              <w:snapToGrid w:val="0"/>
              <w:spacing w:after="0" w:line="288" w:lineRule="auto"/>
              <w:ind w:right="220" w:rightChars="100" w:firstLine="420" w:firstLineChars="200"/>
              <w:jc w:val="both"/>
              <w:textAlignment w:val="auto"/>
              <w:outlineLvl w:val="9"/>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本项目为美化环境，吸尘降噪，在卫生服务站内放置各种花草盆栽。</w:t>
            </w:r>
          </w:p>
          <w:p>
            <w:pPr>
              <w:keepNext w:val="0"/>
              <w:keepLines w:val="0"/>
              <w:pageBreakBefore w:val="0"/>
              <w:widowControl w:val="0"/>
              <w:numPr>
                <w:ilvl w:val="0"/>
                <w:numId w:val="1"/>
              </w:numPr>
              <w:kinsoku/>
              <w:wordWrap/>
              <w:overflowPunct/>
              <w:topLinePunct w:val="0"/>
              <w:autoSpaceDE/>
              <w:autoSpaceDN/>
              <w:bidi w:val="0"/>
              <w:adjustRightInd w:val="0"/>
              <w:snapToGrid w:val="0"/>
              <w:spacing w:after="0" w:line="288" w:lineRule="auto"/>
              <w:ind w:left="0" w:leftChars="0" w:right="220" w:rightChars="100" w:firstLine="0" w:firstLineChars="0"/>
              <w:jc w:val="both"/>
              <w:textAlignment w:val="auto"/>
              <w:outlineLvl w:val="9"/>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项目</w:t>
            </w:r>
            <w:bookmarkEnd w:id="2"/>
            <w:bookmarkEnd w:id="3"/>
            <w:r>
              <w:rPr>
                <w:rFonts w:hint="eastAsia" w:ascii="宋体" w:hAnsi="宋体" w:eastAsia="宋体" w:cs="宋体"/>
                <w:b/>
                <w:bCs/>
                <w:color w:val="000000"/>
                <w:sz w:val="21"/>
                <w:szCs w:val="21"/>
                <w:lang w:val="en-US" w:eastAsia="zh-CN"/>
              </w:rPr>
              <w:t>环保图片</w:t>
            </w:r>
          </w:p>
          <w:p>
            <w:pPr>
              <w:widowControl w:val="0"/>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eastAsia="zh-CN"/>
              </w:rPr>
              <w:drawing>
                <wp:anchor distT="0" distB="0" distL="114300" distR="114300" simplePos="0" relativeHeight="251659264" behindDoc="1" locked="0" layoutInCell="1" allowOverlap="1">
                  <wp:simplePos x="0" y="0"/>
                  <wp:positionH relativeFrom="column">
                    <wp:posOffset>2933065</wp:posOffset>
                  </wp:positionH>
                  <wp:positionV relativeFrom="paragraph">
                    <wp:posOffset>43180</wp:posOffset>
                  </wp:positionV>
                  <wp:extent cx="2473325" cy="3074670"/>
                  <wp:effectExtent l="0" t="0" r="3175" b="11430"/>
                  <wp:wrapNone/>
                  <wp:docPr id="2" name="图片 2" descr="QQ图片2018080921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图片20180809212803"/>
                          <pic:cNvPicPr>
                            <a:picLocks noChangeAspect="1"/>
                          </pic:cNvPicPr>
                        </pic:nvPicPr>
                        <pic:blipFill>
                          <a:blip r:embed="rId16"/>
                          <a:stretch>
                            <a:fillRect/>
                          </a:stretch>
                        </pic:blipFill>
                        <pic:spPr>
                          <a:xfrm>
                            <a:off x="0" y="0"/>
                            <a:ext cx="2473325" cy="3074670"/>
                          </a:xfrm>
                          <a:prstGeom prst="rect">
                            <a:avLst/>
                          </a:prstGeom>
                        </pic:spPr>
                      </pic:pic>
                    </a:graphicData>
                  </a:graphic>
                </wp:anchor>
              </w:drawing>
            </w:r>
            <w:r>
              <w:rPr>
                <w:rFonts w:hint="eastAsia" w:ascii="宋体" w:hAnsi="宋体" w:eastAsia="宋体" w:cs="宋体"/>
                <w:color w:val="000000"/>
                <w:sz w:val="21"/>
                <w:szCs w:val="21"/>
                <w:lang w:eastAsia="zh-CN"/>
              </w:rPr>
              <w:drawing>
                <wp:anchor distT="0" distB="0" distL="114300" distR="114300" simplePos="0" relativeHeight="251658240" behindDoc="1" locked="0" layoutInCell="1" allowOverlap="1">
                  <wp:simplePos x="0" y="0"/>
                  <wp:positionH relativeFrom="column">
                    <wp:posOffset>160655</wp:posOffset>
                  </wp:positionH>
                  <wp:positionV relativeFrom="paragraph">
                    <wp:posOffset>39370</wp:posOffset>
                  </wp:positionV>
                  <wp:extent cx="2511425" cy="3094990"/>
                  <wp:effectExtent l="0" t="0" r="3175" b="10160"/>
                  <wp:wrapNone/>
                  <wp:docPr id="1" name="图片 1" descr="QQ图片2018080921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图片20180809212820"/>
                          <pic:cNvPicPr>
                            <a:picLocks noChangeAspect="1"/>
                          </pic:cNvPicPr>
                        </pic:nvPicPr>
                        <pic:blipFill>
                          <a:blip r:embed="rId17"/>
                          <a:stretch>
                            <a:fillRect/>
                          </a:stretch>
                        </pic:blipFill>
                        <pic:spPr>
                          <a:xfrm>
                            <a:off x="0" y="0"/>
                            <a:ext cx="2511425" cy="3094990"/>
                          </a:xfrm>
                          <a:prstGeom prst="rect">
                            <a:avLst/>
                          </a:prstGeom>
                        </pic:spPr>
                      </pic:pic>
                    </a:graphicData>
                  </a:graphic>
                </wp:anchor>
              </w:drawing>
            </w:r>
          </w:p>
          <w:p>
            <w:pPr>
              <w:widowControl w:val="0"/>
              <w:numPr>
                <w:ilvl w:val="0"/>
                <w:numId w:val="0"/>
              </w:numPr>
              <w:tabs>
                <w:tab w:val="right" w:pos="8306"/>
              </w:tabs>
              <w:spacing w:line="360" w:lineRule="exact"/>
              <w:jc w:val="both"/>
              <w:rPr>
                <w:rFonts w:hint="eastAsia" w:ascii="宋体" w:hAnsi="宋体" w:eastAsia="宋体" w:cs="宋体"/>
                <w:color w:val="000000"/>
                <w:sz w:val="21"/>
                <w:szCs w:val="21"/>
                <w:lang w:eastAsia="zh-CN"/>
              </w:rPr>
            </w:pPr>
          </w:p>
          <w:p>
            <w:pPr>
              <w:widowControl w:val="0"/>
              <w:numPr>
                <w:ilvl w:val="0"/>
                <w:numId w:val="0"/>
              </w:numPr>
              <w:tabs>
                <w:tab w:val="right" w:pos="8306"/>
              </w:tabs>
              <w:spacing w:line="360" w:lineRule="exact"/>
              <w:jc w:val="both"/>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ab/>
            </w:r>
          </w:p>
          <w:p>
            <w:pPr>
              <w:widowControl w:val="0"/>
              <w:numPr>
                <w:ilvl w:val="0"/>
                <w:numId w:val="0"/>
              </w:numPr>
              <w:tabs>
                <w:tab w:val="right" w:pos="8306"/>
              </w:tabs>
              <w:spacing w:line="360" w:lineRule="exact"/>
              <w:jc w:val="both"/>
              <w:rPr>
                <w:rFonts w:hint="eastAsia" w:ascii="宋体" w:hAnsi="宋体" w:eastAsia="宋体" w:cs="宋体"/>
                <w:color w:val="000000"/>
                <w:sz w:val="21"/>
                <w:szCs w:val="21"/>
                <w:lang w:eastAsia="zh-CN"/>
              </w:rPr>
            </w:pPr>
          </w:p>
          <w:p>
            <w:pPr>
              <w:widowControl w:val="0"/>
              <w:numPr>
                <w:ilvl w:val="0"/>
                <w:numId w:val="0"/>
              </w:numPr>
              <w:tabs>
                <w:tab w:val="right" w:pos="8306"/>
              </w:tabs>
              <w:spacing w:line="360" w:lineRule="exact"/>
              <w:jc w:val="both"/>
              <w:rPr>
                <w:rFonts w:hint="eastAsia" w:ascii="宋体" w:hAnsi="宋体" w:eastAsia="宋体" w:cs="宋体"/>
                <w:color w:val="000000"/>
                <w:sz w:val="21"/>
                <w:szCs w:val="21"/>
                <w:lang w:eastAsia="zh-CN"/>
              </w:rPr>
            </w:pPr>
          </w:p>
          <w:p>
            <w:pPr>
              <w:widowControl w:val="0"/>
              <w:numPr>
                <w:ilvl w:val="0"/>
                <w:numId w:val="0"/>
              </w:numPr>
              <w:tabs>
                <w:tab w:val="right" w:pos="8306"/>
              </w:tabs>
              <w:spacing w:line="360" w:lineRule="exact"/>
              <w:jc w:val="both"/>
              <w:rPr>
                <w:rFonts w:hint="eastAsia" w:ascii="宋体" w:hAnsi="宋体" w:eastAsia="宋体" w:cs="宋体"/>
                <w:color w:val="000000"/>
                <w:sz w:val="21"/>
                <w:szCs w:val="21"/>
                <w:lang w:eastAsia="zh-CN"/>
              </w:rPr>
            </w:pPr>
          </w:p>
          <w:p>
            <w:pPr>
              <w:widowControl w:val="0"/>
              <w:numPr>
                <w:ilvl w:val="0"/>
                <w:numId w:val="0"/>
              </w:numPr>
              <w:spacing w:line="360" w:lineRule="exact"/>
              <w:jc w:val="center"/>
              <w:rPr>
                <w:rFonts w:hint="eastAsia" w:ascii="宋体" w:hAnsi="宋体" w:eastAsia="宋体" w:cs="宋体"/>
                <w:color w:val="000000"/>
                <w:sz w:val="21"/>
                <w:szCs w:val="21"/>
                <w:lang w:eastAsia="zh-CN"/>
              </w:rPr>
            </w:pPr>
          </w:p>
          <w:p>
            <w:pPr>
              <w:widowControl w:val="0"/>
              <w:numPr>
                <w:ilvl w:val="0"/>
                <w:numId w:val="0"/>
              </w:numPr>
              <w:tabs>
                <w:tab w:val="right" w:pos="8306"/>
              </w:tabs>
              <w:spacing w:line="360" w:lineRule="exact"/>
              <w:jc w:val="both"/>
              <w:rPr>
                <w:rFonts w:hint="eastAsia" w:ascii="宋体" w:hAnsi="宋体" w:eastAsia="宋体" w:cs="宋体"/>
                <w:color w:val="000000"/>
                <w:sz w:val="21"/>
                <w:szCs w:val="21"/>
                <w:lang w:eastAsia="zh-CN"/>
              </w:rPr>
            </w:pPr>
          </w:p>
          <w:p>
            <w:pPr>
              <w:widowControl w:val="0"/>
              <w:numPr>
                <w:ilvl w:val="0"/>
                <w:numId w:val="0"/>
              </w:numPr>
              <w:tabs>
                <w:tab w:val="right" w:pos="8306"/>
              </w:tabs>
              <w:spacing w:line="360" w:lineRule="exact"/>
              <w:jc w:val="both"/>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eastAsia="zh-CN"/>
              </w:rPr>
              <w:drawing>
                <wp:anchor distT="0" distB="0" distL="114300" distR="114300" simplePos="0" relativeHeight="251660288" behindDoc="1" locked="0" layoutInCell="1" allowOverlap="1">
                  <wp:simplePos x="0" y="0"/>
                  <wp:positionH relativeFrom="column">
                    <wp:posOffset>160655</wp:posOffset>
                  </wp:positionH>
                  <wp:positionV relativeFrom="paragraph">
                    <wp:posOffset>6939915</wp:posOffset>
                  </wp:positionV>
                  <wp:extent cx="2511425" cy="3094990"/>
                  <wp:effectExtent l="0" t="0" r="3175" b="10160"/>
                  <wp:wrapNone/>
                  <wp:docPr id="6" name="图片 6" descr="QQ图片2018080921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图片20180809212820"/>
                          <pic:cNvPicPr>
                            <a:picLocks noChangeAspect="1"/>
                          </pic:cNvPicPr>
                        </pic:nvPicPr>
                        <pic:blipFill>
                          <a:blip r:embed="rId17"/>
                          <a:stretch>
                            <a:fillRect/>
                          </a:stretch>
                        </pic:blipFill>
                        <pic:spPr>
                          <a:xfrm>
                            <a:off x="0" y="0"/>
                            <a:ext cx="2511425" cy="3094990"/>
                          </a:xfrm>
                          <a:prstGeom prst="rect">
                            <a:avLst/>
                          </a:prstGeom>
                        </pic:spPr>
                      </pic:pic>
                    </a:graphicData>
                  </a:graphic>
                </wp:anchor>
              </w:drawing>
            </w:r>
          </w:p>
          <w:p>
            <w:pPr>
              <w:widowControl w:val="0"/>
              <w:numPr>
                <w:ilvl w:val="0"/>
                <w:numId w:val="0"/>
              </w:numPr>
              <w:tabs>
                <w:tab w:val="right" w:pos="8306"/>
              </w:tabs>
              <w:spacing w:line="360" w:lineRule="exact"/>
              <w:jc w:val="both"/>
              <w:rPr>
                <w:rFonts w:hint="eastAsia" w:ascii="宋体" w:hAnsi="宋体" w:eastAsia="宋体" w:cs="宋体"/>
                <w:color w:val="000000"/>
                <w:sz w:val="21"/>
                <w:szCs w:val="21"/>
                <w:lang w:val="en-US" w:eastAsia="zh-CN"/>
              </w:rPr>
            </w:pPr>
            <w:r>
              <w:rPr>
                <w:rFonts w:hint="eastAsia" w:ascii="宋体" w:hAnsi="宋体" w:eastAsia="宋体" w:cs="宋体"/>
                <w:b w:val="0"/>
                <w:bCs/>
                <w:color w:val="000000"/>
                <w:sz w:val="21"/>
                <w:szCs w:val="21"/>
                <w:lang w:val="en-US" w:eastAsia="zh-CN"/>
              </w:rPr>
              <w:t xml:space="preserve">        </w:t>
            </w:r>
            <w:r>
              <w:rPr>
                <w:rFonts w:hint="eastAsia" w:ascii="宋体" w:hAnsi="宋体" w:eastAsia="宋体" w:cs="宋体"/>
                <w:b/>
                <w:bCs w:val="0"/>
                <w:color w:val="000000"/>
                <w:sz w:val="21"/>
                <w:szCs w:val="21"/>
                <w:lang w:val="en-US" w:eastAsia="zh-CN"/>
              </w:rPr>
              <w:t xml:space="preserve"> 图3-1 一体化污水处理站 </w:t>
            </w:r>
            <w:r>
              <w:rPr>
                <w:rFonts w:hint="eastAsia" w:ascii="宋体" w:hAnsi="宋体" w:eastAsia="宋体" w:cs="宋体"/>
                <w:b w:val="0"/>
                <w:bCs/>
                <w:color w:val="000000"/>
                <w:sz w:val="21"/>
                <w:szCs w:val="21"/>
                <w:lang w:val="en-US" w:eastAsia="zh-CN"/>
              </w:rPr>
              <w:t xml:space="preserve">                     </w:t>
            </w:r>
            <w:r>
              <w:rPr>
                <w:rFonts w:hint="eastAsia" w:ascii="宋体" w:hAnsi="宋体" w:eastAsia="宋体" w:cs="宋体"/>
                <w:b/>
                <w:bCs w:val="0"/>
                <w:color w:val="000000"/>
                <w:sz w:val="21"/>
                <w:szCs w:val="21"/>
                <w:lang w:val="en-US" w:eastAsia="zh-CN"/>
              </w:rPr>
              <w:t xml:space="preserve"> 图3-2 </w:t>
            </w:r>
            <w:r>
              <w:rPr>
                <w:rFonts w:hint="eastAsia" w:ascii="宋体" w:hAnsi="宋体" w:eastAsia="宋体" w:cs="宋体"/>
                <w:b/>
                <w:bCs w:val="0"/>
                <w:color w:val="000000"/>
                <w:sz w:val="21"/>
                <w:szCs w:val="21"/>
              </w:rPr>
              <w:t>医疗废物暂储</w:t>
            </w:r>
            <w:r>
              <w:rPr>
                <w:rFonts w:hint="eastAsia" w:ascii="宋体" w:hAnsi="宋体" w:eastAsia="宋体" w:cs="宋体"/>
                <w:b/>
                <w:bCs w:val="0"/>
                <w:color w:val="000000"/>
                <w:sz w:val="21"/>
                <w:szCs w:val="21"/>
                <w:lang w:eastAsia="zh-CN"/>
              </w:rPr>
              <w:t>间</w:t>
            </w:r>
          </w:p>
          <w:p>
            <w:pPr>
              <w:widowControl w:val="0"/>
              <w:numPr>
                <w:ilvl w:val="0"/>
                <w:numId w:val="0"/>
              </w:numPr>
              <w:tabs>
                <w:tab w:val="right" w:pos="8306"/>
              </w:tabs>
              <w:spacing w:line="360" w:lineRule="exact"/>
              <w:jc w:val="both"/>
              <w:rPr>
                <w:rFonts w:hint="eastAsia" w:ascii="宋体" w:hAnsi="宋体" w:eastAsia="宋体" w:cs="宋体"/>
                <w:color w:val="000000"/>
                <w:sz w:val="21"/>
                <w:szCs w:val="21"/>
                <w:lang w:eastAsia="zh-CN"/>
              </w:rPr>
            </w:pPr>
          </w:p>
          <w:p>
            <w:pPr>
              <w:widowControl w:val="0"/>
              <w:numPr>
                <w:ilvl w:val="0"/>
                <w:numId w:val="0"/>
              </w:numPr>
              <w:tabs>
                <w:tab w:val="right" w:pos="8306"/>
              </w:tabs>
              <w:spacing w:line="360" w:lineRule="exact"/>
              <w:jc w:val="both"/>
              <w:rPr>
                <w:rFonts w:hint="eastAsia" w:ascii="宋体" w:hAnsi="宋体" w:eastAsia="宋体" w:cs="宋体"/>
                <w:color w:val="000000"/>
                <w:sz w:val="21"/>
                <w:szCs w:val="21"/>
                <w:lang w:val="en-US" w:eastAsia="zh-CN"/>
              </w:rPr>
            </w:pPr>
          </w:p>
        </w:tc>
      </w:tr>
    </w:tbl>
    <w:p>
      <w:pPr>
        <w:spacing w:after="0" w:afterLines="0" w:line="360" w:lineRule="auto"/>
        <w:rPr>
          <w:rFonts w:hint="eastAsia" w:hAnsi="Arial" w:eastAsia="仿宋_GB2312" w:cs="Times New Roman"/>
          <w:b/>
          <w:color w:val="000000"/>
          <w:sz w:val="21"/>
          <w:szCs w:val="21"/>
          <w:lang w:val="en-US" w:eastAsia="zh-CN"/>
        </w:rPr>
      </w:pPr>
    </w:p>
    <w:p>
      <w:pPr>
        <w:spacing w:after="0" w:afterLines="0" w:line="360" w:lineRule="auto"/>
        <w:rPr>
          <w:rFonts w:hint="eastAsia" w:hAnsi="Arial" w:eastAsia="仿宋_GB2312" w:cs="Times New Roman"/>
          <w:b/>
          <w:color w:val="000000"/>
          <w:sz w:val="21"/>
          <w:szCs w:val="21"/>
          <w:lang w:val="en-US" w:eastAsia="zh-CN"/>
        </w:rPr>
      </w:pPr>
    </w:p>
    <w:p>
      <w:pPr>
        <w:spacing w:after="0" w:afterLines="0" w:line="360" w:lineRule="auto"/>
        <w:rPr>
          <w:rFonts w:hint="eastAsia" w:hAnsi="Arial" w:eastAsia="仿宋_GB2312" w:cs="Times New Roman"/>
          <w:b/>
          <w:color w:val="000000"/>
          <w:sz w:val="21"/>
          <w:szCs w:val="21"/>
          <w:lang w:val="en-US" w:eastAsia="zh-CN"/>
        </w:rPr>
      </w:pPr>
      <w:r>
        <w:rPr>
          <w:rFonts w:hint="eastAsia" w:hAnsi="Arial" w:eastAsia="仿宋_GB2312" w:cs="Times New Roman"/>
          <w:b/>
          <w:color w:val="000000"/>
          <w:sz w:val="21"/>
          <w:szCs w:val="21"/>
          <w:lang w:val="en-US" w:eastAsia="zh-CN"/>
        </w:rPr>
        <w:t>表四、建设项目环境影响报告表主要结论及审批部门审批决定</w:t>
      </w:r>
    </w:p>
    <w:tbl>
      <w:tblPr>
        <w:tblStyle w:val="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52" w:hRule="atLeast"/>
        </w:trPr>
        <w:tc>
          <w:tcPr>
            <w:tcW w:w="8522" w:type="dxa"/>
          </w:tcPr>
          <w:p>
            <w:pPr>
              <w:keepNext w:val="0"/>
              <w:keepLines w:val="0"/>
              <w:pageBreakBefore w:val="0"/>
              <w:widowControl w:val="0"/>
              <w:kinsoku/>
              <w:wordWrap w:val="0"/>
              <w:overflowPunct/>
              <w:topLinePunct w:val="0"/>
              <w:autoSpaceDE/>
              <w:autoSpaceDN/>
              <w:bidi w:val="0"/>
              <w:adjustRightInd w:val="0"/>
              <w:snapToGrid w:val="0"/>
              <w:spacing w:after="0" w:line="360" w:lineRule="auto"/>
              <w:ind w:left="209" w:leftChars="95" w:firstLine="0" w:firstLineChars="0"/>
              <w:jc w:val="both"/>
              <w:textAlignment w:val="auto"/>
              <w:outlineLvl w:val="9"/>
              <w:rPr>
                <w:rFonts w:hint="default"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1</w:t>
            </w:r>
            <w:r>
              <w:rPr>
                <w:rFonts w:hint="default" w:ascii="宋体" w:hAnsi="宋体" w:eastAsia="宋体" w:cs="宋体"/>
                <w:b/>
                <w:bCs/>
                <w:color w:val="000000"/>
                <w:sz w:val="21"/>
                <w:szCs w:val="21"/>
                <w:lang w:val="en-US" w:eastAsia="zh-CN"/>
              </w:rPr>
              <w:t>、</w:t>
            </w:r>
            <w:r>
              <w:rPr>
                <w:rFonts w:hint="eastAsia" w:ascii="宋体" w:hAnsi="宋体" w:eastAsia="宋体" w:cs="宋体"/>
                <w:b/>
                <w:bCs/>
                <w:color w:val="000000"/>
                <w:sz w:val="21"/>
                <w:szCs w:val="21"/>
                <w:lang w:val="en-US" w:eastAsia="zh-CN"/>
              </w:rPr>
              <w:t>环评报告表主要</w:t>
            </w:r>
            <w:r>
              <w:rPr>
                <w:rFonts w:hint="default" w:ascii="宋体" w:hAnsi="宋体" w:eastAsia="宋体" w:cs="宋体"/>
                <w:b/>
                <w:bCs/>
                <w:color w:val="000000"/>
                <w:sz w:val="21"/>
                <w:szCs w:val="21"/>
                <w:lang w:val="en-US" w:eastAsia="zh-CN"/>
              </w:rPr>
              <w:t>结论</w:t>
            </w:r>
          </w:p>
          <w:p>
            <w:pPr>
              <w:keepNext w:val="0"/>
              <w:keepLines w:val="0"/>
              <w:pageBreakBefore w:val="0"/>
              <w:widowControl w:val="0"/>
              <w:kinsoku/>
              <w:overflowPunct/>
              <w:topLinePunct w:val="0"/>
              <w:autoSpaceDE/>
              <w:autoSpaceDN/>
              <w:bidi w:val="0"/>
              <w:spacing w:line="288" w:lineRule="auto"/>
              <w:ind w:left="220" w:leftChars="100" w:right="220" w:rightChars="100" w:firstLine="420" w:firstLineChars="200"/>
              <w:jc w:val="both"/>
              <w:textAlignment w:val="auto"/>
              <w:rPr>
                <w:rFonts w:hint="default" w:ascii="宋体" w:hAnsi="宋体" w:eastAsia="宋体" w:cs="宋体"/>
                <w:color w:val="000000"/>
                <w:sz w:val="21"/>
                <w:szCs w:val="21"/>
              </w:rPr>
            </w:pPr>
            <w:r>
              <w:rPr>
                <w:rFonts w:hint="eastAsia" w:ascii="宋体" w:hAnsi="宋体" w:eastAsia="宋体" w:cs="宋体"/>
                <w:color w:val="000000"/>
                <w:sz w:val="21"/>
                <w:szCs w:val="21"/>
                <w:lang w:eastAsia="zh-CN"/>
              </w:rPr>
              <w:t>（</w:t>
            </w:r>
            <w:r>
              <w:rPr>
                <w:rFonts w:hint="default" w:ascii="宋体" w:hAnsi="宋体" w:eastAsia="宋体" w:cs="宋体"/>
                <w:color w:val="000000"/>
                <w:sz w:val="21"/>
                <w:szCs w:val="21"/>
                <w:lang w:eastAsia="zh-CN"/>
              </w:rPr>
              <w:t>1</w:t>
            </w:r>
            <w:r>
              <w:rPr>
                <w:rFonts w:hint="eastAsia" w:ascii="宋体" w:hAnsi="宋体" w:eastAsia="宋体" w:cs="宋体"/>
                <w:color w:val="000000"/>
                <w:sz w:val="21"/>
                <w:szCs w:val="21"/>
                <w:lang w:eastAsia="zh-CN"/>
              </w:rPr>
              <w:t>）</w:t>
            </w:r>
            <w:r>
              <w:rPr>
                <w:rFonts w:hint="default" w:ascii="宋体" w:hAnsi="宋体" w:eastAsia="宋体" w:cs="宋体"/>
                <w:color w:val="000000"/>
                <w:sz w:val="21"/>
                <w:szCs w:val="21"/>
                <w:lang w:eastAsia="zh-CN"/>
              </w:rPr>
              <w:t>云岩区头桥社区第二卫生服务站位于云岩区枣山路</w:t>
            </w:r>
            <w:r>
              <w:rPr>
                <w:rFonts w:hint="eastAsia" w:ascii="宋体" w:hAnsi="宋体" w:eastAsia="宋体" w:cs="宋体"/>
                <w:color w:val="000000"/>
                <w:sz w:val="21"/>
                <w:szCs w:val="21"/>
                <w:lang w:val="en-US" w:eastAsia="zh-CN"/>
              </w:rPr>
              <w:t>126(一层隔层及二层)</w:t>
            </w:r>
            <w:r>
              <w:rPr>
                <w:rFonts w:hint="default" w:ascii="宋体" w:hAnsi="宋体" w:eastAsia="宋体" w:cs="宋体"/>
                <w:color w:val="000000"/>
                <w:sz w:val="21"/>
                <w:szCs w:val="21"/>
                <w:lang w:eastAsia="zh-CN"/>
              </w:rPr>
              <w:t>，总建筑面积754</w:t>
            </w:r>
            <w:r>
              <w:rPr>
                <w:rFonts w:hint="eastAsia" w:ascii="宋体" w:hAnsi="宋体" w:eastAsia="宋体" w:cs="宋体"/>
                <w:color w:val="000000"/>
                <w:sz w:val="21"/>
                <w:szCs w:val="21"/>
                <w:lang w:eastAsia="zh-CN"/>
              </w:rPr>
              <w:t>㎡</w:t>
            </w:r>
            <w:r>
              <w:rPr>
                <w:rFonts w:hint="default" w:ascii="宋体" w:hAnsi="宋体" w:eastAsia="宋体" w:cs="宋体"/>
                <w:color w:val="000000"/>
                <w:sz w:val="21"/>
                <w:szCs w:val="21"/>
                <w:lang w:eastAsia="zh-CN"/>
              </w:rPr>
              <w:t>，</w:t>
            </w:r>
            <w:r>
              <w:rPr>
                <w:rFonts w:hint="default" w:ascii="宋体" w:hAnsi="宋体" w:eastAsia="宋体" w:cs="宋体"/>
                <w:color w:val="000000"/>
                <w:sz w:val="21"/>
                <w:szCs w:val="21"/>
              </w:rPr>
              <w:t>主要建设内容包括药房、大厅、B超室、心电图室、检查室、肌注治疗室、计划生育室、牙片室、内科诊室、外科诊室、妇科门诊室、办公室和库房等</w:t>
            </w:r>
            <w:r>
              <w:rPr>
                <w:rFonts w:hint="default" w:ascii="宋体" w:hAnsi="宋体" w:eastAsia="宋体" w:cs="宋体"/>
                <w:color w:val="000000"/>
                <w:sz w:val="21"/>
                <w:szCs w:val="21"/>
                <w:lang w:eastAsia="zh-CN"/>
              </w:rPr>
              <w:t>。</w:t>
            </w:r>
            <w:r>
              <w:rPr>
                <w:rFonts w:hint="default" w:ascii="宋体" w:hAnsi="宋体" w:eastAsia="宋体" w:cs="宋体"/>
                <w:color w:val="000000"/>
                <w:sz w:val="21"/>
                <w:szCs w:val="21"/>
              </w:rPr>
              <w:t>本项目</w:t>
            </w:r>
            <w:r>
              <w:rPr>
                <w:rFonts w:hint="eastAsia" w:ascii="宋体" w:hAnsi="宋体" w:eastAsia="宋体" w:cs="宋体"/>
                <w:color w:val="000000"/>
                <w:sz w:val="21"/>
                <w:szCs w:val="21"/>
                <w:lang w:val="en-US" w:eastAsia="zh-CN"/>
              </w:rPr>
              <w:t>配置</w:t>
            </w:r>
            <w:r>
              <w:rPr>
                <w:rFonts w:hint="default" w:ascii="宋体" w:hAnsi="宋体" w:eastAsia="宋体" w:cs="宋体"/>
                <w:color w:val="000000"/>
                <w:sz w:val="21"/>
                <w:szCs w:val="21"/>
              </w:rPr>
              <w:t>医务人员共</w:t>
            </w:r>
            <w:r>
              <w:rPr>
                <w:rFonts w:hint="eastAsia" w:ascii="宋体" w:hAnsi="宋体" w:eastAsia="宋体" w:cs="宋体"/>
                <w:color w:val="000000"/>
                <w:sz w:val="21"/>
                <w:szCs w:val="21"/>
                <w:lang w:val="en-US" w:eastAsia="zh-CN"/>
              </w:rPr>
              <w:t>50</w:t>
            </w:r>
            <w:r>
              <w:rPr>
                <w:rFonts w:hint="default" w:ascii="宋体" w:hAnsi="宋体" w:eastAsia="宋体" w:cs="宋体"/>
                <w:color w:val="000000"/>
                <w:sz w:val="21"/>
                <w:szCs w:val="21"/>
              </w:rPr>
              <w:t>人，</w:t>
            </w:r>
            <w:r>
              <w:rPr>
                <w:rFonts w:hint="eastAsia" w:ascii="宋体" w:hAnsi="宋体" w:eastAsia="宋体" w:cs="宋体"/>
                <w:color w:val="000000"/>
                <w:sz w:val="21"/>
                <w:szCs w:val="21"/>
                <w:lang w:val="en-US" w:eastAsia="zh-CN"/>
              </w:rPr>
              <w:t>其中医生18人，护士32人，</w:t>
            </w:r>
            <w:r>
              <w:rPr>
                <w:rFonts w:hint="default" w:ascii="宋体" w:hAnsi="宋体" w:eastAsia="宋体" w:cs="宋体"/>
                <w:color w:val="000000"/>
                <w:sz w:val="21"/>
                <w:szCs w:val="21"/>
              </w:rPr>
              <w:t>工作制度为24小时(三班)应诊制度，年工作时间365天。</w:t>
            </w:r>
          </w:p>
          <w:p>
            <w:pPr>
              <w:keepNext w:val="0"/>
              <w:keepLines w:val="0"/>
              <w:pageBreakBefore w:val="0"/>
              <w:widowControl w:val="0"/>
              <w:kinsoku/>
              <w:wordWrap/>
              <w:overflowPunct/>
              <w:topLinePunct w:val="0"/>
              <w:autoSpaceDE/>
              <w:autoSpaceDN/>
              <w:bidi w:val="0"/>
              <w:adjustRightInd w:val="0"/>
              <w:snapToGrid w:val="0"/>
              <w:spacing w:line="288" w:lineRule="auto"/>
              <w:ind w:left="220" w:leftChars="100" w:right="220" w:rightChars="100" w:firstLine="420" w:firstLineChars="200"/>
              <w:jc w:val="both"/>
              <w:textAlignment w:val="auto"/>
              <w:outlineLvl w:val="9"/>
              <w:rPr>
                <w:rFonts w:hint="default" w:ascii="宋体" w:hAnsi="宋体" w:eastAsia="宋体" w:cs="宋体"/>
                <w:color w:val="000000"/>
                <w:sz w:val="21"/>
                <w:szCs w:val="21"/>
                <w:lang w:eastAsia="zh-CN"/>
              </w:rPr>
            </w:pPr>
            <w:r>
              <w:rPr>
                <w:rFonts w:hint="eastAsia" w:ascii="宋体" w:hAnsi="宋体" w:eastAsia="宋体" w:cs="宋体"/>
                <w:color w:val="000000"/>
                <w:sz w:val="21"/>
                <w:szCs w:val="21"/>
                <w:lang w:eastAsia="zh-CN"/>
              </w:rPr>
              <w:t>（</w:t>
            </w:r>
            <w:r>
              <w:rPr>
                <w:rFonts w:hint="default" w:ascii="宋体" w:hAnsi="宋体" w:eastAsia="宋体" w:cs="宋体"/>
                <w:color w:val="000000"/>
                <w:sz w:val="21"/>
                <w:szCs w:val="21"/>
                <w:lang w:eastAsia="zh-CN"/>
              </w:rPr>
              <w:t>2</w:t>
            </w:r>
            <w:r>
              <w:rPr>
                <w:rFonts w:hint="eastAsia" w:ascii="宋体" w:hAnsi="宋体" w:eastAsia="宋体" w:cs="宋体"/>
                <w:color w:val="000000"/>
                <w:sz w:val="21"/>
                <w:szCs w:val="21"/>
                <w:lang w:eastAsia="zh-CN"/>
              </w:rPr>
              <w:t>）</w:t>
            </w:r>
            <w:r>
              <w:rPr>
                <w:rFonts w:hint="default" w:ascii="宋体" w:hAnsi="宋体" w:eastAsia="宋体" w:cs="宋体"/>
                <w:color w:val="000000"/>
                <w:sz w:val="21"/>
                <w:szCs w:val="21"/>
              </w:rPr>
              <w:t>本项目</w:t>
            </w:r>
            <w:r>
              <w:rPr>
                <w:rFonts w:hint="eastAsia" w:ascii="宋体" w:hAnsi="宋体" w:eastAsia="宋体" w:cs="宋体"/>
                <w:color w:val="000000"/>
                <w:sz w:val="21"/>
                <w:szCs w:val="21"/>
                <w:lang w:val="en-US" w:eastAsia="zh-CN"/>
              </w:rPr>
              <w:t>属于</w:t>
            </w:r>
            <w:r>
              <w:rPr>
                <w:rFonts w:hint="default" w:ascii="宋体" w:hAnsi="宋体" w:eastAsia="宋体" w:cs="宋体"/>
                <w:color w:val="000000"/>
                <w:sz w:val="21"/>
                <w:szCs w:val="21"/>
              </w:rPr>
              <w:t>国家发展和改革委员会2013年第21号令《产业结构调整指导目录(2011年本)》(2013年修正)</w:t>
            </w:r>
            <w:r>
              <w:rPr>
                <w:rFonts w:hint="eastAsia" w:ascii="宋体" w:hAnsi="宋体" w:eastAsia="宋体" w:cs="宋体"/>
                <w:color w:val="000000"/>
                <w:sz w:val="21"/>
                <w:szCs w:val="21"/>
                <w:lang w:val="en-US" w:eastAsia="zh-CN"/>
              </w:rPr>
              <w:t>“第一类鼓励类”中“三十六、教育、文化、卫生、体育服务业”中“29、医疗卫生服务设施建设”，本项目建设符合国家产业政策。</w:t>
            </w:r>
          </w:p>
          <w:p>
            <w:pPr>
              <w:keepNext w:val="0"/>
              <w:keepLines w:val="0"/>
              <w:pageBreakBefore w:val="0"/>
              <w:widowControl w:val="0"/>
              <w:kinsoku/>
              <w:wordWrap/>
              <w:overflowPunct/>
              <w:topLinePunct w:val="0"/>
              <w:autoSpaceDE/>
              <w:autoSpaceDN/>
              <w:bidi w:val="0"/>
              <w:adjustRightInd w:val="0"/>
              <w:snapToGrid w:val="0"/>
              <w:spacing w:line="288" w:lineRule="auto"/>
              <w:ind w:left="220" w:leftChars="100" w:right="220" w:rightChars="100" w:firstLine="420" w:firstLineChars="200"/>
              <w:jc w:val="both"/>
              <w:textAlignment w:val="auto"/>
              <w:outlineLvl w:val="9"/>
              <w:rPr>
                <w:rFonts w:hint="default" w:ascii="宋体" w:hAnsi="宋体" w:eastAsia="宋体" w:cs="宋体"/>
                <w:color w:val="000000"/>
                <w:sz w:val="21"/>
                <w:szCs w:val="21"/>
                <w:lang w:eastAsia="zh-CN"/>
              </w:rPr>
            </w:pPr>
            <w:r>
              <w:rPr>
                <w:rFonts w:hint="eastAsia" w:ascii="宋体" w:hAnsi="宋体" w:eastAsia="宋体" w:cs="宋体"/>
                <w:color w:val="000000"/>
                <w:sz w:val="21"/>
                <w:szCs w:val="21"/>
                <w:lang w:val="en-US" w:eastAsia="zh-CN"/>
              </w:rPr>
              <w:t>（3）评价区</w:t>
            </w:r>
            <w:r>
              <w:rPr>
                <w:rFonts w:hint="default" w:ascii="宋体" w:hAnsi="宋体" w:eastAsia="宋体" w:cs="宋体"/>
                <w:color w:val="000000"/>
                <w:sz w:val="21"/>
                <w:szCs w:val="21"/>
                <w:lang w:eastAsia="zh-CN"/>
              </w:rPr>
              <w:t>环境空气质量监测指标SO2</w:t>
            </w:r>
            <w:r>
              <w:rPr>
                <w:rFonts w:hint="eastAsia" w:ascii="宋体" w:hAnsi="宋体" w:eastAsia="宋体" w:cs="宋体"/>
                <w:color w:val="000000"/>
                <w:sz w:val="21"/>
                <w:szCs w:val="21"/>
                <w:lang w:eastAsia="zh-CN"/>
              </w:rPr>
              <w:t>、</w:t>
            </w:r>
            <w:r>
              <w:rPr>
                <w:rFonts w:hint="default" w:ascii="宋体" w:hAnsi="宋体" w:eastAsia="宋体" w:cs="宋体"/>
                <w:color w:val="000000"/>
                <w:sz w:val="21"/>
                <w:szCs w:val="21"/>
                <w:lang w:eastAsia="zh-CN"/>
              </w:rPr>
              <w:t>NO2、PM10</w:t>
            </w:r>
            <w:r>
              <w:rPr>
                <w:rFonts w:hint="eastAsia" w:ascii="宋体" w:hAnsi="宋体" w:eastAsia="宋体" w:cs="宋体"/>
                <w:color w:val="000000"/>
                <w:sz w:val="21"/>
                <w:szCs w:val="21"/>
                <w:lang w:eastAsia="zh-CN"/>
              </w:rPr>
              <w:t>、</w:t>
            </w:r>
            <w:r>
              <w:rPr>
                <w:rFonts w:hint="default" w:ascii="宋体" w:hAnsi="宋体" w:eastAsia="宋体" w:cs="宋体"/>
                <w:color w:val="000000"/>
                <w:sz w:val="21"/>
                <w:szCs w:val="21"/>
                <w:lang w:eastAsia="zh-CN"/>
              </w:rPr>
              <w:t>PM2</w:t>
            </w:r>
            <w:r>
              <w:rPr>
                <w:rFonts w:hint="eastAsia" w:ascii="宋体" w:hAnsi="宋体" w:eastAsia="宋体" w:cs="宋体"/>
                <w:color w:val="000000"/>
                <w:sz w:val="21"/>
                <w:szCs w:val="21"/>
                <w:lang w:val="en-US" w:eastAsia="zh-CN"/>
              </w:rPr>
              <w:t>.5</w:t>
            </w:r>
            <w:r>
              <w:rPr>
                <w:rFonts w:hint="default" w:ascii="宋体" w:hAnsi="宋体" w:eastAsia="宋体" w:cs="宋体"/>
                <w:color w:val="000000"/>
                <w:sz w:val="21"/>
                <w:szCs w:val="21"/>
                <w:lang w:eastAsia="zh-CN"/>
              </w:rPr>
              <w:t>24小时平均值均能达到《环境空气质量标准》(GB3095-2012)二级标准值。</w:t>
            </w:r>
            <w:r>
              <w:rPr>
                <w:rFonts w:hint="eastAsia" w:ascii="宋体" w:hAnsi="宋体" w:eastAsia="宋体" w:cs="宋体"/>
                <w:color w:val="000000"/>
                <w:sz w:val="21"/>
                <w:szCs w:val="21"/>
                <w:lang w:val="en-US" w:eastAsia="zh-CN"/>
              </w:rPr>
              <w:t>南明河</w:t>
            </w:r>
            <w:r>
              <w:rPr>
                <w:rFonts w:hint="default" w:ascii="宋体" w:hAnsi="宋体" w:eastAsia="宋体" w:cs="宋体"/>
                <w:color w:val="000000"/>
                <w:sz w:val="21"/>
                <w:szCs w:val="21"/>
                <w:lang w:eastAsia="zh-CN"/>
              </w:rPr>
              <w:t>甲秀楼桥下50m断面、红岩桥桥位下游50m断面除pH、石油类以外，其余水质监测指标均超过《地表水环境质量标准》(GB3838-2002)Ⅲ类标准。项目所在区域声环境质量现状满足《声环境质量标准》(GB3096-2008)2类标准</w:t>
            </w:r>
            <w:r>
              <w:rPr>
                <w:rFonts w:hint="eastAsia" w:ascii="宋体" w:hAnsi="宋体" w:eastAsia="宋体" w:cs="宋体"/>
                <w:color w:val="000000"/>
                <w:sz w:val="21"/>
                <w:szCs w:val="21"/>
              </w:rPr>
              <w:t>(昼间60dB(A)、夜间50dB(A))</w:t>
            </w:r>
            <w:r>
              <w:rPr>
                <w:rFonts w:hint="default" w:ascii="宋体" w:hAnsi="宋体" w:eastAsia="宋体" w:cs="宋体"/>
                <w:color w:val="000000"/>
                <w:sz w:val="21"/>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288" w:lineRule="auto"/>
              <w:ind w:left="220" w:leftChars="100" w:right="220" w:rightChars="100" w:firstLine="420" w:firstLineChars="200"/>
              <w:jc w:val="both"/>
              <w:textAlignment w:val="auto"/>
              <w:outlineLvl w:val="9"/>
              <w:rPr>
                <w:rFonts w:hint="default" w:ascii="宋体" w:hAnsi="宋体" w:eastAsia="宋体" w:cs="宋体"/>
                <w:color w:val="000000"/>
                <w:sz w:val="21"/>
                <w:szCs w:val="21"/>
                <w:lang w:eastAsia="zh-CN"/>
              </w:rPr>
            </w:pP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lang w:eastAsia="zh-CN"/>
              </w:rPr>
              <w:t>本项目位于贵阳市云岩区威清</w:t>
            </w:r>
            <w:r>
              <w:rPr>
                <w:rFonts w:hint="eastAsia" w:ascii="宋体" w:hAnsi="宋体" w:eastAsia="宋体" w:cs="宋体"/>
                <w:color w:val="000000"/>
                <w:sz w:val="21"/>
                <w:szCs w:val="21"/>
                <w:lang w:val="en-US" w:eastAsia="zh-CN"/>
              </w:rPr>
              <w:t>街道办事处</w:t>
            </w:r>
            <w:r>
              <w:rPr>
                <w:rFonts w:hint="eastAsia" w:ascii="宋体" w:hAnsi="宋体" w:eastAsia="宋体" w:cs="宋体"/>
                <w:color w:val="000000"/>
                <w:sz w:val="21"/>
                <w:szCs w:val="21"/>
                <w:lang w:eastAsia="zh-CN"/>
              </w:rPr>
              <w:t>，西侧距枣山路8m，北侧距北京西路5m，南距南明河约2400m。本项目所在建筑共14层，一层为中国工商银行，一层隔层及二层为本项目建筑用房，三至十四层为尚捷酒店；北东侧5m为旅游咨询服务中心，北东侧130m为黔灵大厦，北东侧136m为居民住宅(63户，241人)；东侧为3m为居民住宅（46户，184人），东侧86m处为居民住宅(26户，96人)；南东侧8m为在建住宅，南东侧76m为居民住宅(44户，152人)，南东侧145m处为居民住宅(41户，143人)；南侧38m为中国农业银行，南侧66m处为商户；南西侧56m处为贵州铁道大厦，南西60m处为贵阳银行。</w:t>
            </w:r>
            <w:r>
              <w:rPr>
                <w:rFonts w:hint="default" w:ascii="宋体" w:hAnsi="宋体" w:eastAsia="宋体" w:cs="宋体"/>
                <w:color w:val="000000"/>
                <w:sz w:val="21"/>
                <w:szCs w:val="21"/>
                <w:lang w:eastAsia="zh-CN"/>
              </w:rPr>
              <w:t>本项目位于云岩区威清</w:t>
            </w:r>
            <w:r>
              <w:rPr>
                <w:rFonts w:hint="eastAsia" w:ascii="宋体" w:hAnsi="宋体" w:eastAsia="宋体" w:cs="宋体"/>
                <w:color w:val="000000"/>
                <w:sz w:val="21"/>
                <w:szCs w:val="21"/>
                <w:lang w:val="en-US" w:eastAsia="zh-CN"/>
              </w:rPr>
              <w:t>街道办事处</w:t>
            </w:r>
            <w:r>
              <w:rPr>
                <w:rFonts w:hint="default" w:ascii="宋体" w:hAnsi="宋体" w:eastAsia="宋体" w:cs="宋体"/>
                <w:color w:val="000000"/>
                <w:sz w:val="21"/>
                <w:szCs w:val="21"/>
                <w:lang w:eastAsia="zh-CN"/>
              </w:rPr>
              <w:t>，属于典型的城市生态系统。</w:t>
            </w:r>
            <w:r>
              <w:rPr>
                <w:rFonts w:hint="eastAsia" w:ascii="宋体" w:hAnsi="宋体" w:eastAsia="宋体" w:cs="宋体"/>
                <w:color w:val="000000"/>
                <w:sz w:val="21"/>
                <w:szCs w:val="21"/>
                <w:lang w:val="en-US" w:eastAsia="zh-CN"/>
              </w:rPr>
              <w:t>经现场勘查，项目</w:t>
            </w:r>
            <w:r>
              <w:rPr>
                <w:rFonts w:hint="default" w:ascii="宋体" w:hAnsi="宋体" w:eastAsia="宋体" w:cs="宋体"/>
                <w:color w:val="000000"/>
                <w:sz w:val="21"/>
                <w:szCs w:val="21"/>
                <w:lang w:eastAsia="zh-CN"/>
              </w:rPr>
              <w:t>所在区域不属于环境敏感区，不在饮用水源保护区、自然保护区，周边无文物保护单位。</w:t>
            </w:r>
          </w:p>
          <w:p>
            <w:pPr>
              <w:keepNext w:val="0"/>
              <w:keepLines w:val="0"/>
              <w:pageBreakBefore w:val="0"/>
              <w:widowControl w:val="0"/>
              <w:kinsoku/>
              <w:wordWrap/>
              <w:overflowPunct/>
              <w:topLinePunct w:val="0"/>
              <w:autoSpaceDE/>
              <w:autoSpaceDN/>
              <w:bidi w:val="0"/>
              <w:adjustRightInd w:val="0"/>
              <w:snapToGrid w:val="0"/>
              <w:spacing w:line="288" w:lineRule="auto"/>
              <w:ind w:left="220" w:leftChars="100" w:right="220" w:rightChars="100" w:firstLine="420" w:firstLineChars="200"/>
              <w:jc w:val="both"/>
              <w:textAlignment w:val="auto"/>
              <w:outlineLvl w:val="9"/>
              <w:rPr>
                <w:rFonts w:hint="default" w:ascii="宋体" w:hAnsi="宋体" w:eastAsia="宋体" w:cs="宋体"/>
                <w:color w:val="000000"/>
                <w:sz w:val="21"/>
                <w:szCs w:val="21"/>
                <w:lang w:eastAsia="zh-CN"/>
              </w:rPr>
            </w:pPr>
            <w:r>
              <w:rPr>
                <w:rFonts w:hint="eastAsia" w:ascii="宋体" w:hAnsi="宋体" w:eastAsia="宋体" w:cs="宋体"/>
                <w:color w:val="000000"/>
                <w:sz w:val="21"/>
                <w:szCs w:val="21"/>
                <w:lang w:val="en-US" w:eastAsia="zh-CN"/>
              </w:rPr>
              <w:t>（5）</w:t>
            </w:r>
            <w:r>
              <w:rPr>
                <w:rFonts w:hint="default" w:ascii="宋体" w:hAnsi="宋体" w:eastAsia="宋体" w:cs="宋体"/>
                <w:color w:val="000000"/>
                <w:sz w:val="21"/>
                <w:szCs w:val="21"/>
                <w:lang w:eastAsia="zh-CN"/>
              </w:rPr>
              <w:t>施工期污染防治措施。</w:t>
            </w:r>
          </w:p>
          <w:p>
            <w:pPr>
              <w:keepNext w:val="0"/>
              <w:keepLines w:val="0"/>
              <w:pageBreakBefore w:val="0"/>
              <w:widowControl w:val="0"/>
              <w:kinsoku/>
              <w:wordWrap/>
              <w:overflowPunct/>
              <w:topLinePunct w:val="0"/>
              <w:autoSpaceDE/>
              <w:autoSpaceDN/>
              <w:bidi w:val="0"/>
              <w:adjustRightInd w:val="0"/>
              <w:snapToGrid w:val="0"/>
              <w:spacing w:after="0" w:line="288" w:lineRule="auto"/>
              <w:ind w:left="220" w:leftChars="100" w:right="220" w:rightChars="100" w:firstLine="420" w:firstLineChars="200"/>
              <w:jc w:val="both"/>
              <w:textAlignment w:val="auto"/>
              <w:outlineLvl w:val="9"/>
              <w:rPr>
                <w:rFonts w:hint="eastAsia" w:ascii="宋体" w:hAnsi="宋体" w:eastAsia="宋体" w:cs="宋体"/>
                <w:color w:val="000000"/>
                <w:sz w:val="21"/>
                <w:szCs w:val="21"/>
                <w:lang w:eastAsia="zh-CN"/>
              </w:rPr>
            </w:pPr>
            <w:r>
              <w:rPr>
                <w:rFonts w:hint="default" w:ascii="宋体" w:hAnsi="宋体" w:eastAsia="宋体" w:cs="宋体"/>
                <w:color w:val="000000"/>
                <w:sz w:val="21"/>
                <w:szCs w:val="21"/>
                <w:lang w:eastAsia="zh-CN"/>
              </w:rPr>
              <w:t>①</w:t>
            </w:r>
            <w:r>
              <w:rPr>
                <w:rFonts w:hint="eastAsia" w:ascii="宋体" w:hAnsi="宋体" w:eastAsia="宋体" w:cs="宋体"/>
                <w:color w:val="000000"/>
                <w:sz w:val="21"/>
                <w:szCs w:val="21"/>
                <w:lang w:eastAsia="zh-CN"/>
              </w:rPr>
              <w:t>大气环境影响</w:t>
            </w:r>
          </w:p>
          <w:p>
            <w:pPr>
              <w:keepNext w:val="0"/>
              <w:keepLines w:val="0"/>
              <w:pageBreakBefore w:val="0"/>
              <w:widowControl w:val="0"/>
              <w:kinsoku/>
              <w:wordWrap/>
              <w:overflowPunct/>
              <w:topLinePunct w:val="0"/>
              <w:autoSpaceDE/>
              <w:autoSpaceDN/>
              <w:bidi w:val="0"/>
              <w:adjustRightInd w:val="0"/>
              <w:snapToGrid w:val="0"/>
              <w:spacing w:after="100" w:line="288" w:lineRule="auto"/>
              <w:ind w:left="220" w:leftChars="100" w:right="220" w:rightChars="100" w:firstLine="420" w:firstLineChars="200"/>
              <w:jc w:val="both"/>
              <w:textAlignment w:val="auto"/>
              <w:outlineLvl w:val="9"/>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本项目施工期大气污染物主要来源于拌制砌墙水泥砂浆产生的少量水泥粉尘；工程运输车辆产生的二次扬尘；设备搬运过程运输车辆产生的汽车尾气；装修过程中装修材料、油漆、涂料等产生的废气。</w:t>
            </w:r>
          </w:p>
          <w:p>
            <w:pPr>
              <w:keepNext w:val="0"/>
              <w:keepLines w:val="0"/>
              <w:pageBreakBefore w:val="0"/>
              <w:widowControl w:val="0"/>
              <w:kinsoku/>
              <w:wordWrap/>
              <w:overflowPunct/>
              <w:topLinePunct w:val="0"/>
              <w:autoSpaceDE/>
              <w:autoSpaceDN/>
              <w:bidi w:val="0"/>
              <w:adjustRightInd w:val="0"/>
              <w:snapToGrid w:val="0"/>
              <w:spacing w:after="100" w:line="288" w:lineRule="auto"/>
              <w:ind w:left="220" w:leftChars="100" w:right="220" w:rightChars="100" w:firstLine="420" w:firstLineChars="200"/>
              <w:jc w:val="both"/>
              <w:textAlignment w:val="auto"/>
              <w:outlineLvl w:val="9"/>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拌制水泥砂浆产生的少量水泥粉尘，装修过程中装修材料、涂料等产生的废气，主要污染因子为苯、二甲苯、醛等。通过加强装修场地的通风换气，装修时应选用环保型装饰材料，减少甲醛、甲苯、二甲苯等有毒有害物质对环境质量的影响，施工人员佩戴防尘口罩，装修废气对周边环境空气质量影响较小。</w:t>
            </w:r>
          </w:p>
          <w:p>
            <w:pPr>
              <w:keepNext w:val="0"/>
              <w:keepLines w:val="0"/>
              <w:pageBreakBefore w:val="0"/>
              <w:widowControl w:val="0"/>
              <w:kinsoku/>
              <w:wordWrap/>
              <w:overflowPunct/>
              <w:topLinePunct w:val="0"/>
              <w:autoSpaceDE/>
              <w:autoSpaceDN/>
              <w:bidi w:val="0"/>
              <w:adjustRightInd w:val="0"/>
              <w:snapToGrid w:val="0"/>
              <w:spacing w:after="100" w:line="288" w:lineRule="auto"/>
              <w:ind w:left="220" w:leftChars="100" w:right="220" w:rightChars="100" w:firstLine="420" w:firstLineChars="200"/>
              <w:jc w:val="both"/>
              <w:textAlignment w:val="auto"/>
              <w:outlineLvl w:val="9"/>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易产生扬尘的材料运输车辆应实行加盖篷布或密闭运输，且可能产生的粉尘的材料不能装得高于两边和尾部的挡板，避免在运输过程中发生遗撒或泄漏。排放</w:t>
            </w:r>
            <w:r>
              <w:rPr>
                <w:rFonts w:hint="eastAsia" w:ascii="宋体" w:hAnsi="宋体" w:eastAsia="宋体" w:cs="宋体"/>
                <w:color w:val="000000"/>
                <w:sz w:val="21"/>
                <w:szCs w:val="21"/>
                <w:lang w:val="en-US" w:eastAsia="zh-CN"/>
              </w:rPr>
              <w:t>的</w:t>
            </w:r>
            <w:r>
              <w:rPr>
                <w:rFonts w:hint="eastAsia" w:ascii="宋体" w:hAnsi="宋体" w:eastAsia="宋体" w:cs="宋体"/>
                <w:color w:val="000000"/>
                <w:sz w:val="21"/>
                <w:szCs w:val="21"/>
                <w:lang w:eastAsia="zh-CN"/>
              </w:rPr>
              <w:t>汽车尾气属无组织排放，易扩散逸入大气，由于道路两侧设有行道树，尾气排放对周边环境空气质量的影响小。</w:t>
            </w:r>
          </w:p>
          <w:p>
            <w:pPr>
              <w:keepNext w:val="0"/>
              <w:keepLines w:val="0"/>
              <w:pageBreakBefore w:val="0"/>
              <w:widowControl w:val="0"/>
              <w:kinsoku/>
              <w:wordWrap/>
              <w:overflowPunct/>
              <w:topLinePunct w:val="0"/>
              <w:autoSpaceDE/>
              <w:autoSpaceDN/>
              <w:bidi w:val="0"/>
              <w:adjustRightInd w:val="0"/>
              <w:snapToGrid w:val="0"/>
              <w:spacing w:line="288" w:lineRule="auto"/>
              <w:ind w:left="220" w:leftChars="100" w:right="220" w:rightChars="100" w:firstLine="420" w:firstLineChars="200"/>
              <w:jc w:val="both"/>
              <w:textAlignment w:val="auto"/>
              <w:outlineLvl w:val="9"/>
              <w:rPr>
                <w:rFonts w:hint="default" w:ascii="宋体" w:hAnsi="宋体" w:eastAsia="宋体" w:cs="宋体"/>
                <w:color w:val="000000"/>
                <w:sz w:val="21"/>
                <w:szCs w:val="21"/>
                <w:lang w:eastAsia="zh-CN"/>
              </w:rPr>
            </w:pPr>
            <w:r>
              <w:rPr>
                <w:rFonts w:hint="default" w:ascii="宋体" w:hAnsi="宋体" w:eastAsia="宋体" w:cs="宋体"/>
                <w:color w:val="000000"/>
                <w:sz w:val="21"/>
                <w:szCs w:val="21"/>
                <w:lang w:eastAsia="zh-CN"/>
              </w:rPr>
              <w:t>②</w:t>
            </w:r>
            <w:r>
              <w:rPr>
                <w:rFonts w:hint="eastAsia" w:ascii="宋体" w:hAnsi="宋体" w:eastAsia="宋体" w:cs="宋体"/>
                <w:color w:val="000000"/>
                <w:sz w:val="21"/>
                <w:szCs w:val="21"/>
              </w:rPr>
              <w:t>本项目施工期无施工废水产生，施工期</w:t>
            </w:r>
            <w:r>
              <w:rPr>
                <w:rFonts w:hint="eastAsia" w:ascii="宋体" w:hAnsi="宋体" w:eastAsia="宋体" w:cs="宋体"/>
                <w:color w:val="000000"/>
                <w:sz w:val="21"/>
                <w:szCs w:val="21"/>
                <w:lang w:val="en-US" w:eastAsia="zh-CN"/>
              </w:rPr>
              <w:t>生活污</w:t>
            </w:r>
            <w:r>
              <w:rPr>
                <w:rFonts w:hint="eastAsia" w:ascii="宋体" w:hAnsi="宋体" w:eastAsia="宋体" w:cs="宋体"/>
                <w:color w:val="000000"/>
                <w:sz w:val="21"/>
                <w:szCs w:val="21"/>
              </w:rPr>
              <w:t>水主要为施工人员清洗、冲厕</w:t>
            </w:r>
            <w:r>
              <w:rPr>
                <w:rFonts w:hint="eastAsia" w:ascii="宋体" w:hAnsi="宋体" w:eastAsia="宋体" w:cs="宋体"/>
                <w:color w:val="000000"/>
                <w:sz w:val="21"/>
                <w:szCs w:val="21"/>
                <w:lang w:val="en-US" w:eastAsia="zh-CN"/>
              </w:rPr>
              <w:t>废水</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项目施工高峰期平均人数可达15/d，用水量按50L/(人</w:t>
            </w:r>
            <w:r>
              <w:rPr>
                <w:rFonts w:hint="default" w:ascii="宋体" w:hAnsi="宋体" w:eastAsia="宋体" w:cs="宋体"/>
                <w:color w:val="000000"/>
                <w:sz w:val="21"/>
                <w:szCs w:val="21"/>
                <w:lang w:val="en-US" w:eastAsia="zh-CN"/>
              </w:rPr>
              <w:t>·</w:t>
            </w:r>
            <w:r>
              <w:rPr>
                <w:rFonts w:hint="eastAsia" w:ascii="宋体" w:hAnsi="宋体" w:eastAsia="宋体" w:cs="宋体"/>
                <w:color w:val="000000"/>
                <w:sz w:val="21"/>
                <w:szCs w:val="21"/>
                <w:lang w:val="en-US" w:eastAsia="zh-CN"/>
              </w:rPr>
              <w:t>d)计，排水量按用水量的85%计，施工期间生活污水产生量为0.637m³/d，主要污染物为</w:t>
            </w:r>
            <w:r>
              <w:rPr>
                <w:rFonts w:hint="eastAsia" w:ascii="宋体" w:hAnsi="宋体" w:eastAsia="宋体" w:cs="宋体"/>
                <w:color w:val="000000"/>
                <w:sz w:val="21"/>
                <w:szCs w:val="21"/>
              </w:rPr>
              <w:t>SS、COD、BOD5、NH3-N、</w:t>
            </w:r>
            <w:r>
              <w:rPr>
                <w:rFonts w:hint="eastAsia" w:ascii="宋体" w:hAnsi="宋体" w:eastAsia="宋体" w:cs="宋体"/>
                <w:color w:val="000000"/>
                <w:sz w:val="21"/>
                <w:szCs w:val="21"/>
                <w:lang w:val="en-US" w:eastAsia="zh-CN"/>
              </w:rPr>
              <w:t>TP</w:t>
            </w:r>
            <w:r>
              <w:rPr>
                <w:rFonts w:hint="eastAsia" w:ascii="宋体" w:hAnsi="宋体" w:eastAsia="宋体" w:cs="宋体"/>
                <w:color w:val="000000"/>
                <w:sz w:val="21"/>
                <w:szCs w:val="21"/>
              </w:rPr>
              <w:t>等污染物。</w:t>
            </w:r>
            <w:r>
              <w:rPr>
                <w:rFonts w:hint="eastAsia" w:ascii="宋体" w:hAnsi="宋体" w:eastAsia="宋体" w:cs="宋体"/>
                <w:color w:val="000000"/>
                <w:sz w:val="21"/>
                <w:szCs w:val="21"/>
                <w:lang w:val="en-US" w:eastAsia="zh-CN"/>
              </w:rPr>
              <w:t>施工人员利用项目周边公共卫生设施，生活污水经化粪池截流沉淀后，</w:t>
            </w:r>
            <w:r>
              <w:rPr>
                <w:rFonts w:hint="default" w:ascii="宋体" w:hAnsi="宋体" w:eastAsia="宋体" w:cs="宋体"/>
                <w:color w:val="000000"/>
                <w:sz w:val="21"/>
                <w:szCs w:val="21"/>
                <w:lang w:eastAsia="zh-CN"/>
              </w:rPr>
              <w:t>排入枣山路市政道路污水管网，经</w:t>
            </w:r>
            <w:r>
              <w:rPr>
                <w:rFonts w:hint="eastAsia" w:ascii="宋体" w:hAnsi="宋体" w:eastAsia="宋体" w:cs="宋体"/>
                <w:color w:val="000000"/>
                <w:sz w:val="21"/>
                <w:szCs w:val="21"/>
                <w:lang w:val="en-US" w:eastAsia="zh-CN"/>
              </w:rPr>
              <w:t>鲤鱼排水主干线市政污水管</w:t>
            </w:r>
            <w:r>
              <w:rPr>
                <w:rFonts w:hint="eastAsia" w:ascii="宋体" w:hAnsi="宋体" w:eastAsia="宋体" w:cs="宋体"/>
                <w:color w:val="000000"/>
                <w:sz w:val="21"/>
                <w:szCs w:val="21"/>
                <w:lang w:eastAsia="zh-CN"/>
              </w:rPr>
              <w:t>、</w:t>
            </w:r>
            <w:r>
              <w:rPr>
                <w:rFonts w:hint="default" w:ascii="宋体" w:hAnsi="宋体" w:eastAsia="宋体" w:cs="宋体"/>
                <w:color w:val="000000"/>
                <w:sz w:val="21"/>
                <w:szCs w:val="21"/>
                <w:lang w:eastAsia="zh-CN"/>
              </w:rPr>
              <w:t>市西河</w:t>
            </w:r>
            <w:r>
              <w:rPr>
                <w:rFonts w:hint="eastAsia" w:ascii="宋体" w:hAnsi="宋体" w:eastAsia="宋体" w:cs="宋体"/>
                <w:color w:val="000000"/>
                <w:sz w:val="21"/>
                <w:szCs w:val="21"/>
                <w:lang w:val="en-US" w:eastAsia="zh-CN"/>
              </w:rPr>
              <w:t>截</w:t>
            </w:r>
            <w:r>
              <w:rPr>
                <w:rFonts w:hint="default" w:ascii="宋体" w:hAnsi="宋体" w:eastAsia="宋体" w:cs="宋体"/>
                <w:color w:val="000000"/>
                <w:sz w:val="21"/>
                <w:szCs w:val="21"/>
                <w:lang w:eastAsia="zh-CN"/>
              </w:rPr>
              <w:t>污沟</w:t>
            </w:r>
            <w:r>
              <w:rPr>
                <w:rFonts w:hint="eastAsia" w:ascii="宋体" w:hAnsi="宋体" w:eastAsia="宋体" w:cs="宋体"/>
                <w:color w:val="000000"/>
                <w:sz w:val="21"/>
                <w:szCs w:val="21"/>
                <w:lang w:eastAsia="zh-CN"/>
              </w:rPr>
              <w:t>、南明河左岸截污沟</w:t>
            </w:r>
            <w:r>
              <w:rPr>
                <w:rFonts w:hint="default" w:ascii="宋体" w:hAnsi="宋体" w:eastAsia="宋体" w:cs="宋体"/>
                <w:color w:val="000000"/>
                <w:sz w:val="21"/>
                <w:szCs w:val="21"/>
                <w:lang w:eastAsia="zh-CN"/>
              </w:rPr>
              <w:t>进入</w:t>
            </w:r>
            <w:r>
              <w:rPr>
                <w:rFonts w:hint="eastAsia" w:ascii="宋体" w:hAnsi="宋体" w:eastAsia="宋体" w:cs="宋体"/>
                <w:color w:val="000000"/>
                <w:sz w:val="21"/>
                <w:szCs w:val="21"/>
                <w:lang w:eastAsia="zh-CN"/>
              </w:rPr>
              <w:t>新庄污水处理厂(二期)</w:t>
            </w:r>
            <w:r>
              <w:rPr>
                <w:rFonts w:hint="default" w:ascii="宋体" w:hAnsi="宋体" w:eastAsia="宋体" w:cs="宋体"/>
                <w:color w:val="000000"/>
                <w:sz w:val="21"/>
                <w:szCs w:val="21"/>
                <w:lang w:eastAsia="zh-CN"/>
              </w:rPr>
              <w:t>处理，</w:t>
            </w:r>
            <w:r>
              <w:rPr>
                <w:rFonts w:hint="default" w:ascii="宋体" w:hAnsi="宋体" w:eastAsia="宋体" w:cs="宋体"/>
                <w:color w:val="000000"/>
                <w:sz w:val="21"/>
                <w:szCs w:val="21"/>
                <w:lang w:val="en-US" w:eastAsia="zh-CN"/>
              </w:rPr>
              <w:t>处理水质</w:t>
            </w:r>
            <w:r>
              <w:rPr>
                <w:rFonts w:hint="default" w:ascii="宋体" w:hAnsi="宋体" w:eastAsia="宋体" w:cs="宋体"/>
                <w:color w:val="000000"/>
                <w:sz w:val="21"/>
                <w:szCs w:val="21"/>
                <w:lang w:eastAsia="zh-CN"/>
              </w:rPr>
              <w:t>达到《城镇污水处理厂污染物排放标准》(GB18918-2002)及修改单一级A标准后，排入南明河。</w:t>
            </w:r>
          </w:p>
          <w:p>
            <w:pPr>
              <w:keepNext w:val="0"/>
              <w:keepLines w:val="0"/>
              <w:pageBreakBefore w:val="0"/>
              <w:widowControl w:val="0"/>
              <w:kinsoku/>
              <w:wordWrap/>
              <w:overflowPunct/>
              <w:topLinePunct w:val="0"/>
              <w:autoSpaceDE/>
              <w:autoSpaceDN/>
              <w:bidi w:val="0"/>
              <w:adjustRightInd w:val="0"/>
              <w:snapToGrid w:val="0"/>
              <w:spacing w:line="288" w:lineRule="auto"/>
              <w:ind w:left="220" w:leftChars="100" w:right="220" w:rightChars="100" w:firstLine="420" w:firstLineChars="200"/>
              <w:jc w:val="both"/>
              <w:textAlignment w:val="auto"/>
              <w:outlineLvl w:val="9"/>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经上述措施治理后，本项目施工期污水对周围环境影响小。</w:t>
            </w:r>
          </w:p>
          <w:p>
            <w:pPr>
              <w:keepNext w:val="0"/>
              <w:keepLines w:val="0"/>
              <w:pageBreakBefore w:val="0"/>
              <w:widowControl w:val="0"/>
              <w:kinsoku/>
              <w:wordWrap/>
              <w:overflowPunct/>
              <w:topLinePunct w:val="0"/>
              <w:autoSpaceDE/>
              <w:autoSpaceDN/>
              <w:bidi w:val="0"/>
              <w:adjustRightInd w:val="0"/>
              <w:snapToGrid w:val="0"/>
              <w:spacing w:line="288" w:lineRule="auto"/>
              <w:ind w:left="220" w:leftChars="100" w:right="220" w:rightChars="100" w:firstLine="420" w:firstLineChars="200"/>
              <w:jc w:val="both"/>
              <w:textAlignment w:val="auto"/>
              <w:outlineLvl w:val="9"/>
              <w:rPr>
                <w:rFonts w:hint="eastAsia" w:ascii="宋体" w:hAnsi="宋体" w:eastAsia="宋体" w:cs="宋体"/>
                <w:color w:val="000000"/>
                <w:sz w:val="21"/>
                <w:szCs w:val="21"/>
                <w:lang w:eastAsia="zh-CN"/>
              </w:rPr>
            </w:pPr>
            <w:r>
              <w:rPr>
                <w:rFonts w:hint="default" w:ascii="宋体" w:hAnsi="宋体" w:eastAsia="宋体" w:cs="宋体"/>
                <w:color w:val="000000"/>
                <w:sz w:val="21"/>
                <w:szCs w:val="21"/>
                <w:lang w:eastAsia="zh-CN"/>
              </w:rPr>
              <w:t>③</w:t>
            </w:r>
            <w:r>
              <w:rPr>
                <w:rFonts w:hint="eastAsia" w:ascii="宋体" w:hAnsi="宋体" w:eastAsia="宋体" w:cs="宋体"/>
                <w:color w:val="000000"/>
                <w:sz w:val="21"/>
                <w:szCs w:val="21"/>
                <w:lang w:eastAsia="zh-CN"/>
              </w:rPr>
              <w:t>施工期噪声污染源主要为装修设备噪音及运输车辆。装修过程中声功率级最大的设备是电钻，声功率级达115dB(A)，材料运输车辆噪声源的声功率级范围大部分为</w:t>
            </w:r>
            <w:r>
              <w:rPr>
                <w:rFonts w:hint="default" w:ascii="宋体" w:hAnsi="宋体" w:eastAsia="宋体" w:cs="宋体"/>
                <w:color w:val="000000"/>
                <w:sz w:val="21"/>
                <w:szCs w:val="21"/>
                <w:lang w:eastAsia="zh-CN"/>
              </w:rPr>
              <w:t>85dB(A)～90dB(A)</w:t>
            </w:r>
            <w:r>
              <w:rPr>
                <w:rFonts w:hint="eastAsia" w:ascii="宋体" w:hAnsi="宋体" w:eastAsia="宋体" w:cs="宋体"/>
                <w:color w:val="000000"/>
                <w:sz w:val="21"/>
                <w:szCs w:val="21"/>
                <w:lang w:eastAsia="zh-CN"/>
              </w:rPr>
              <w:t>，这些设备的运转将影响施工场地周围区域的声环境质量。</w:t>
            </w:r>
          </w:p>
          <w:p>
            <w:pPr>
              <w:keepNext w:val="0"/>
              <w:keepLines w:val="0"/>
              <w:pageBreakBefore w:val="0"/>
              <w:widowControl w:val="0"/>
              <w:kinsoku/>
              <w:wordWrap/>
              <w:overflowPunct/>
              <w:topLinePunct w:val="0"/>
              <w:autoSpaceDE/>
              <w:autoSpaceDN/>
              <w:bidi w:val="0"/>
              <w:adjustRightInd w:val="0"/>
              <w:snapToGrid w:val="0"/>
              <w:spacing w:line="288" w:lineRule="auto"/>
              <w:ind w:left="220" w:leftChars="100" w:right="220" w:rightChars="100" w:firstLine="420" w:firstLineChars="200"/>
              <w:jc w:val="both"/>
              <w:textAlignment w:val="auto"/>
              <w:outlineLvl w:val="9"/>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环评要求加强施工过程的管理。材料及设备运输车辆出入地点应尽量远离民宅，车辆出入现场时应低速、禁鸣。施工单位在施工作业中应选用低噪声的施工机具，合理安排各类施工机械的工作时间，以减轻施工噪声对周围声环境产生的不利影响。严禁高噪声的设备在中午(12:00～14:30)和夜间(22:00～次日6:00)及节假日休息时间作业。经以上处理措施后施工场界处噪声预测值能满足《建筑施工场界环境噪声排放标准》(GB12523-2011)限值要求，对周边声环境影响小。</w:t>
            </w:r>
          </w:p>
          <w:p>
            <w:pPr>
              <w:keepNext w:val="0"/>
              <w:keepLines w:val="0"/>
              <w:pageBreakBefore w:val="0"/>
              <w:widowControl w:val="0"/>
              <w:kinsoku/>
              <w:wordWrap/>
              <w:overflowPunct/>
              <w:topLinePunct w:val="0"/>
              <w:autoSpaceDE/>
              <w:autoSpaceDN/>
              <w:bidi w:val="0"/>
              <w:adjustRightInd w:val="0"/>
              <w:snapToGrid w:val="0"/>
              <w:spacing w:line="288" w:lineRule="auto"/>
              <w:ind w:left="220" w:leftChars="100" w:right="220" w:rightChars="100" w:firstLine="420" w:firstLineChars="200"/>
              <w:jc w:val="both"/>
              <w:textAlignment w:val="auto"/>
              <w:outlineLvl w:val="9"/>
              <w:rPr>
                <w:rFonts w:hint="default" w:ascii="宋体" w:hAnsi="宋体" w:eastAsia="宋体" w:cs="宋体"/>
                <w:color w:val="000000"/>
                <w:sz w:val="21"/>
                <w:szCs w:val="21"/>
                <w:lang w:eastAsia="zh-CN"/>
              </w:rPr>
            </w:pPr>
            <w:r>
              <w:rPr>
                <w:rFonts w:hint="default" w:ascii="宋体" w:hAnsi="宋体" w:eastAsia="宋体" w:cs="宋体"/>
                <w:color w:val="000000"/>
                <w:sz w:val="21"/>
                <w:szCs w:val="21"/>
                <w:lang w:eastAsia="zh-CN"/>
              </w:rPr>
              <w:t>④</w:t>
            </w:r>
            <w:r>
              <w:rPr>
                <w:rFonts w:hint="eastAsia" w:ascii="宋体" w:hAnsi="宋体" w:eastAsia="宋体" w:cs="宋体"/>
                <w:color w:val="000000"/>
                <w:sz w:val="21"/>
                <w:szCs w:val="21"/>
                <w:lang w:eastAsia="zh-CN"/>
              </w:rPr>
              <w:t>施工期产生的固体废弃物主要为装修过程产生的装修垃圾，设备安装过程中产生的包装废弃物。装修阶段产生装修垃圾，按总建筑面积754㎡计算，每0.05t/㎡计，产生量约37.7t，清运至合法弃土场，在清运过程中应实行加盖篷布或密闭运输。设备安装过程中产生的包装废弃物产生量约为10kg/d。其中水泥等包装材料、设备包装箱等废物尽可能回收利用；涂料容器送厂家回收利用；施工现场</w:t>
            </w:r>
            <w:r>
              <w:rPr>
                <w:rFonts w:hint="eastAsia" w:ascii="宋体" w:hAnsi="宋体" w:eastAsia="宋体" w:cs="宋体"/>
                <w:color w:val="000000"/>
                <w:sz w:val="21"/>
                <w:szCs w:val="21"/>
                <w:lang w:val="en-US" w:eastAsia="zh-CN"/>
              </w:rPr>
              <w:t>设置生活垃圾桶和装修固废垃圾桶，</w:t>
            </w:r>
            <w:r>
              <w:rPr>
                <w:rFonts w:hint="eastAsia" w:ascii="宋体" w:hAnsi="宋体" w:eastAsia="宋体" w:cs="宋体"/>
                <w:color w:val="000000"/>
                <w:sz w:val="21"/>
                <w:szCs w:val="21"/>
                <w:lang w:eastAsia="zh-CN"/>
              </w:rPr>
              <w:t>生活垃圾、包装废弃物等废物应及时清理。有关部门应加强对施工人员的安全卫生教育，不随意乱丢废物，以保证环境卫生处于良好状态。</w:t>
            </w:r>
          </w:p>
          <w:p>
            <w:pPr>
              <w:keepNext w:val="0"/>
              <w:keepLines w:val="0"/>
              <w:pageBreakBefore w:val="0"/>
              <w:widowControl w:val="0"/>
              <w:kinsoku/>
              <w:wordWrap/>
              <w:overflowPunct/>
              <w:topLinePunct w:val="0"/>
              <w:autoSpaceDE/>
              <w:autoSpaceDN/>
              <w:bidi w:val="0"/>
              <w:adjustRightInd w:val="0"/>
              <w:snapToGrid w:val="0"/>
              <w:spacing w:after="100" w:line="288" w:lineRule="auto"/>
              <w:ind w:left="220" w:leftChars="100" w:right="220" w:rightChars="100" w:firstLine="420" w:firstLineChars="200"/>
              <w:jc w:val="both"/>
              <w:textAlignment w:val="auto"/>
              <w:outlineLvl w:val="9"/>
              <w:rPr>
                <w:rFonts w:hint="default" w:ascii="宋体" w:hAnsi="宋体" w:eastAsia="宋体" w:cs="宋体"/>
                <w:color w:val="000000"/>
                <w:sz w:val="21"/>
                <w:szCs w:val="21"/>
                <w:lang w:eastAsia="zh-CN"/>
              </w:rPr>
            </w:pPr>
            <w:r>
              <w:rPr>
                <w:rFonts w:hint="eastAsia" w:ascii="宋体" w:hAnsi="宋体" w:eastAsia="宋体" w:cs="宋体"/>
                <w:color w:val="000000"/>
                <w:sz w:val="21"/>
                <w:szCs w:val="21"/>
                <w:lang w:val="en-US" w:eastAsia="zh-CN"/>
              </w:rPr>
              <w:t>6</w:t>
            </w:r>
            <w:r>
              <w:rPr>
                <w:rFonts w:hint="default" w:ascii="宋体" w:hAnsi="宋体" w:eastAsia="宋体" w:cs="宋体"/>
                <w:color w:val="000000"/>
                <w:sz w:val="21"/>
                <w:szCs w:val="21"/>
                <w:lang w:eastAsia="zh-CN"/>
              </w:rPr>
              <w:t>、营运期污染防治措施</w:t>
            </w:r>
          </w:p>
          <w:p>
            <w:pPr>
              <w:keepNext w:val="0"/>
              <w:keepLines w:val="0"/>
              <w:pageBreakBefore w:val="0"/>
              <w:widowControl w:val="0"/>
              <w:kinsoku/>
              <w:wordWrap/>
              <w:overflowPunct/>
              <w:topLinePunct w:val="0"/>
              <w:autoSpaceDE/>
              <w:autoSpaceDN/>
              <w:bidi w:val="0"/>
              <w:adjustRightInd w:val="0"/>
              <w:snapToGrid w:val="0"/>
              <w:spacing w:after="100" w:line="288" w:lineRule="auto"/>
              <w:ind w:left="220" w:leftChars="100" w:right="220" w:rightChars="100" w:firstLine="420" w:firstLineChars="200"/>
              <w:jc w:val="both"/>
              <w:textAlignment w:val="auto"/>
              <w:outlineLvl w:val="9"/>
              <w:rPr>
                <w:rFonts w:hint="default" w:ascii="宋体" w:hAnsi="宋体" w:eastAsia="宋体" w:cs="宋体"/>
                <w:color w:val="000000"/>
                <w:sz w:val="21"/>
                <w:szCs w:val="21"/>
                <w:lang w:eastAsia="zh-CN"/>
              </w:rPr>
            </w:pPr>
            <w:r>
              <w:rPr>
                <w:rFonts w:hint="default" w:ascii="宋体" w:hAnsi="宋体" w:eastAsia="宋体" w:cs="宋体"/>
                <w:color w:val="000000"/>
                <w:sz w:val="21"/>
                <w:szCs w:val="21"/>
                <w:lang w:eastAsia="zh-CN"/>
              </w:rPr>
              <w:t>①大气污染防治措施</w:t>
            </w:r>
          </w:p>
          <w:p>
            <w:pPr>
              <w:keepNext w:val="0"/>
              <w:keepLines w:val="0"/>
              <w:pageBreakBefore w:val="0"/>
              <w:widowControl w:val="0"/>
              <w:kinsoku/>
              <w:wordWrap/>
              <w:overflowPunct/>
              <w:topLinePunct w:val="0"/>
              <w:autoSpaceDE/>
              <w:autoSpaceDN/>
              <w:bidi w:val="0"/>
              <w:adjustRightInd w:val="0"/>
              <w:snapToGrid w:val="0"/>
              <w:spacing w:line="288" w:lineRule="auto"/>
              <w:ind w:left="220" w:leftChars="100" w:right="220" w:rightChars="100" w:firstLine="420" w:firstLineChars="200"/>
              <w:jc w:val="both"/>
              <w:textAlignment w:val="auto"/>
              <w:outlineLvl w:val="9"/>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本项目运营期检查室等科室将使用有机溶剂，将挥发一定量的有机废气。废气主要包括乙醇、甲醇等挥发性物质，</w:t>
            </w:r>
            <w:r>
              <w:rPr>
                <w:rFonts w:hint="eastAsia" w:ascii="宋体" w:hAnsi="宋体" w:eastAsia="宋体" w:cs="宋体"/>
                <w:color w:val="000000"/>
                <w:sz w:val="21"/>
                <w:szCs w:val="21"/>
                <w:lang w:val="en-US" w:eastAsia="zh-CN"/>
              </w:rPr>
              <w:t>不加管理会对环境空气质量产生一定的影响</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医疗危废暂存间和生活垃圾桶不及时清理，部分带有刺激性气味的医疗废物和易腐败的有机垃圾分解会发出异味，对环境的影响主要表现为恶臭。</w:t>
            </w:r>
            <w:r>
              <w:rPr>
                <w:rFonts w:hint="eastAsia" w:ascii="宋体" w:hAnsi="宋体" w:eastAsia="宋体" w:cs="宋体"/>
                <w:color w:val="000000"/>
                <w:sz w:val="21"/>
                <w:szCs w:val="21"/>
                <w:lang w:eastAsia="zh-CN"/>
              </w:rPr>
              <w:t>环评要求各检查室设置通风橱，使用有挥发性试剂的操作均在通风橱内进行，挥发性气体经通风橱收集、抽至排风机房经</w:t>
            </w:r>
            <w:r>
              <w:rPr>
                <w:rFonts w:hint="eastAsia" w:ascii="宋体" w:hAnsi="宋体" w:eastAsia="宋体" w:cs="宋体"/>
                <w:color w:val="000000"/>
                <w:sz w:val="21"/>
                <w:szCs w:val="21"/>
                <w:lang w:val="en-US" w:eastAsia="zh-CN"/>
              </w:rPr>
              <w:t>医用空气</w:t>
            </w:r>
            <w:r>
              <w:rPr>
                <w:rFonts w:hint="eastAsia" w:ascii="宋体" w:hAnsi="宋体" w:eastAsia="宋体" w:cs="宋体"/>
                <w:color w:val="000000"/>
                <w:sz w:val="21"/>
                <w:szCs w:val="21"/>
                <w:lang w:eastAsia="zh-CN"/>
              </w:rPr>
              <w:t>净化器处理后引至</w:t>
            </w:r>
            <w:r>
              <w:rPr>
                <w:rFonts w:hint="eastAsia" w:ascii="宋体" w:hAnsi="宋体" w:eastAsia="宋体" w:cs="宋体"/>
                <w:color w:val="000000"/>
                <w:sz w:val="21"/>
                <w:szCs w:val="21"/>
                <w:lang w:val="en-US" w:eastAsia="zh-CN"/>
              </w:rPr>
              <w:t>室外排放</w:t>
            </w:r>
            <w:r>
              <w:rPr>
                <w:rFonts w:hint="eastAsia" w:ascii="宋体" w:hAnsi="宋体" w:eastAsia="宋体" w:cs="宋体"/>
                <w:color w:val="000000"/>
                <w:sz w:val="21"/>
                <w:szCs w:val="21"/>
                <w:lang w:eastAsia="zh-CN"/>
              </w:rPr>
              <w:t>；生活垃圾实行分类收集、袋装化转运，日产日清；</w:t>
            </w:r>
            <w:r>
              <w:rPr>
                <w:rFonts w:hint="eastAsia" w:ascii="宋体" w:hAnsi="宋体" w:eastAsia="宋体" w:cs="宋体"/>
                <w:color w:val="000000"/>
                <w:sz w:val="21"/>
                <w:szCs w:val="21"/>
                <w:lang w:val="en-US" w:eastAsia="zh-CN"/>
              </w:rPr>
              <w:t>本服务中心设置医疗危废暂存间(有效容积20m3)，</w:t>
            </w:r>
            <w:r>
              <w:rPr>
                <w:rFonts w:hint="eastAsia" w:ascii="宋体" w:hAnsi="宋体" w:eastAsia="宋体" w:cs="宋体"/>
                <w:color w:val="000000"/>
                <w:sz w:val="21"/>
                <w:szCs w:val="21"/>
                <w:lang w:eastAsia="zh-CN"/>
              </w:rPr>
              <w:t>医疗废物收集、贮存时均采用封闭措施，且暂存时间不超过48h，</w:t>
            </w:r>
            <w:r>
              <w:rPr>
                <w:rFonts w:hint="eastAsia" w:ascii="宋体" w:hAnsi="宋体" w:eastAsia="宋体" w:cs="宋体"/>
                <w:color w:val="000000"/>
                <w:sz w:val="21"/>
                <w:szCs w:val="21"/>
                <w:lang w:val="en-US" w:eastAsia="zh-CN"/>
              </w:rPr>
              <w:t>对</w:t>
            </w:r>
            <w:r>
              <w:rPr>
                <w:rFonts w:hint="eastAsia" w:ascii="宋体" w:hAnsi="宋体" w:eastAsia="宋体" w:cs="宋体"/>
                <w:color w:val="000000"/>
                <w:sz w:val="21"/>
                <w:szCs w:val="21"/>
                <w:lang w:eastAsia="zh-CN"/>
              </w:rPr>
              <w:t>医疗危废暂存间定期冲洗和消毒，保持医疗危废暂存间清洁卫生。</w:t>
            </w:r>
          </w:p>
          <w:p>
            <w:pPr>
              <w:keepNext w:val="0"/>
              <w:keepLines w:val="0"/>
              <w:pageBreakBefore w:val="0"/>
              <w:widowControl w:val="0"/>
              <w:kinsoku/>
              <w:wordWrap/>
              <w:overflowPunct/>
              <w:topLinePunct w:val="0"/>
              <w:autoSpaceDE/>
              <w:autoSpaceDN/>
              <w:bidi w:val="0"/>
              <w:adjustRightInd w:val="0"/>
              <w:snapToGrid w:val="0"/>
              <w:spacing w:line="288" w:lineRule="auto"/>
              <w:ind w:left="220" w:leftChars="100" w:right="220" w:rightChars="100" w:firstLine="420" w:firstLineChars="200"/>
              <w:jc w:val="both"/>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经上述措施治理后，本项目运营期废气对周围环境空气影响小。</w:t>
            </w:r>
          </w:p>
          <w:p>
            <w:pPr>
              <w:keepNext w:val="0"/>
              <w:keepLines w:val="0"/>
              <w:pageBreakBefore w:val="0"/>
              <w:widowControl w:val="0"/>
              <w:kinsoku/>
              <w:wordWrap/>
              <w:overflowPunct/>
              <w:topLinePunct w:val="0"/>
              <w:autoSpaceDE/>
              <w:autoSpaceDN/>
              <w:bidi w:val="0"/>
              <w:adjustRightInd w:val="0"/>
              <w:snapToGrid w:val="0"/>
              <w:spacing w:line="288" w:lineRule="auto"/>
              <w:ind w:left="220" w:leftChars="100" w:right="220" w:rightChars="100" w:firstLine="420" w:firstLineChars="200"/>
              <w:jc w:val="both"/>
              <w:textAlignment w:val="auto"/>
              <w:outlineLvl w:val="9"/>
              <w:rPr>
                <w:rFonts w:hint="default" w:ascii="宋体" w:hAnsi="宋体" w:eastAsia="宋体" w:cs="宋体"/>
                <w:color w:val="000000"/>
                <w:sz w:val="21"/>
                <w:szCs w:val="21"/>
                <w:lang w:eastAsia="zh-CN"/>
              </w:rPr>
            </w:pPr>
            <w:r>
              <w:rPr>
                <w:rFonts w:hint="default" w:ascii="宋体" w:hAnsi="宋体" w:eastAsia="宋体" w:cs="宋体"/>
                <w:color w:val="000000"/>
                <w:sz w:val="21"/>
                <w:szCs w:val="21"/>
                <w:lang w:eastAsia="zh-CN"/>
              </w:rPr>
              <w:t>②水污染防治措施</w:t>
            </w:r>
          </w:p>
          <w:p>
            <w:pPr>
              <w:keepNext w:val="0"/>
              <w:keepLines w:val="0"/>
              <w:pageBreakBefore w:val="0"/>
              <w:widowControl w:val="0"/>
              <w:kinsoku/>
              <w:wordWrap/>
              <w:overflowPunct/>
              <w:topLinePunct w:val="0"/>
              <w:autoSpaceDE/>
              <w:autoSpaceDN/>
              <w:bidi w:val="0"/>
              <w:adjustRightInd w:val="0"/>
              <w:snapToGrid w:val="0"/>
              <w:spacing w:line="288" w:lineRule="auto"/>
              <w:ind w:left="220" w:leftChars="100" w:right="220" w:rightChars="100" w:firstLine="420" w:firstLineChars="200"/>
              <w:jc w:val="both"/>
              <w:textAlignment w:val="auto"/>
              <w:outlineLvl w:val="9"/>
              <w:rPr>
                <w:rFonts w:hint="default" w:ascii="宋体" w:hAnsi="宋体" w:eastAsia="宋体" w:cs="宋体"/>
                <w:color w:val="000000"/>
                <w:sz w:val="21"/>
                <w:szCs w:val="21"/>
                <w:lang w:eastAsia="zh-CN"/>
              </w:rPr>
            </w:pPr>
            <w:r>
              <w:rPr>
                <w:rFonts w:hint="eastAsia" w:ascii="宋体" w:hAnsi="宋体" w:eastAsia="宋体" w:cs="宋体"/>
                <w:color w:val="000000"/>
                <w:sz w:val="21"/>
                <w:szCs w:val="21"/>
                <w:lang w:val="en-US" w:eastAsia="zh-CN"/>
              </w:rPr>
              <w:t>本项目</w:t>
            </w:r>
            <w:r>
              <w:rPr>
                <w:rFonts w:hint="default" w:ascii="宋体" w:hAnsi="宋体" w:eastAsia="宋体" w:cs="宋体"/>
                <w:color w:val="000000"/>
                <w:sz w:val="21"/>
                <w:szCs w:val="21"/>
                <w:lang w:eastAsia="zh-CN"/>
              </w:rPr>
              <w:t>预计污水总量为</w:t>
            </w:r>
            <w:r>
              <w:rPr>
                <w:rFonts w:hint="eastAsia" w:ascii="宋体" w:hAnsi="宋体" w:eastAsia="宋体" w:cs="宋体"/>
                <w:color w:val="000000"/>
                <w:sz w:val="21"/>
                <w:szCs w:val="21"/>
                <w:lang w:val="en-US" w:eastAsia="zh-CN"/>
              </w:rPr>
              <w:t>11.55</w:t>
            </w:r>
            <w:r>
              <w:rPr>
                <w:rFonts w:hint="default" w:ascii="宋体" w:hAnsi="宋体" w:eastAsia="宋体" w:cs="宋体"/>
                <w:color w:val="000000"/>
                <w:sz w:val="21"/>
                <w:szCs w:val="21"/>
                <w:lang w:eastAsia="zh-CN"/>
              </w:rPr>
              <w:t>m3/d</w:t>
            </w:r>
            <w:r>
              <w:rPr>
                <w:rFonts w:hint="default" w:ascii="宋体" w:hAnsi="宋体" w:eastAsia="宋体" w:cs="宋体"/>
                <w:color w:val="000000"/>
                <w:sz w:val="21"/>
                <w:szCs w:val="21"/>
                <w:lang w:val="en-US" w:eastAsia="zh-CN"/>
              </w:rPr>
              <w:t>(</w:t>
            </w:r>
            <w:r>
              <w:rPr>
                <w:rFonts w:hint="eastAsia" w:ascii="宋体" w:hAnsi="宋体" w:eastAsia="宋体" w:cs="宋体"/>
                <w:color w:val="000000"/>
                <w:sz w:val="21"/>
                <w:szCs w:val="21"/>
                <w:lang w:val="en-US" w:eastAsia="zh-CN"/>
              </w:rPr>
              <w:t>4215.75</w:t>
            </w:r>
            <w:r>
              <w:rPr>
                <w:rFonts w:hint="default" w:ascii="宋体" w:hAnsi="宋体" w:eastAsia="宋体" w:cs="宋体"/>
                <w:color w:val="000000"/>
                <w:sz w:val="21"/>
                <w:szCs w:val="21"/>
                <w:lang w:eastAsia="zh-CN"/>
              </w:rPr>
              <w:t>m3/</w:t>
            </w:r>
            <w:r>
              <w:rPr>
                <w:rFonts w:hint="default" w:ascii="宋体" w:hAnsi="宋体" w:eastAsia="宋体" w:cs="宋体"/>
                <w:color w:val="000000"/>
                <w:sz w:val="21"/>
                <w:szCs w:val="21"/>
                <w:lang w:val="en-US" w:eastAsia="zh-CN"/>
              </w:rPr>
              <w:t>a)</w:t>
            </w:r>
            <w:r>
              <w:rPr>
                <w:rFonts w:hint="default" w:ascii="宋体" w:hAnsi="宋体" w:eastAsia="宋体" w:cs="宋体"/>
                <w:color w:val="000000"/>
                <w:sz w:val="21"/>
                <w:szCs w:val="21"/>
                <w:lang w:eastAsia="zh-CN"/>
              </w:rPr>
              <w:t>。</w:t>
            </w:r>
            <w:r>
              <w:rPr>
                <w:rFonts w:hint="default" w:ascii="宋体" w:hAnsi="宋体" w:eastAsia="宋体" w:cs="宋体"/>
                <w:color w:val="000000"/>
                <w:sz w:val="21"/>
                <w:szCs w:val="21"/>
              </w:rPr>
              <w:t>本项目主要进行预防保健和全科诊疗</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运营期</w:t>
            </w:r>
            <w:r>
              <w:rPr>
                <w:rFonts w:hint="default" w:ascii="宋体" w:hAnsi="宋体" w:eastAsia="宋体" w:cs="宋体"/>
                <w:color w:val="000000"/>
                <w:sz w:val="21"/>
                <w:szCs w:val="21"/>
              </w:rPr>
              <w:t>污</w:t>
            </w:r>
            <w:r>
              <w:rPr>
                <w:rFonts w:hint="eastAsia" w:ascii="宋体" w:hAnsi="宋体" w:eastAsia="宋体" w:cs="宋体"/>
                <w:color w:val="000000"/>
                <w:sz w:val="21"/>
                <w:szCs w:val="21"/>
                <w:lang w:val="en-US" w:eastAsia="zh-CN"/>
              </w:rPr>
              <w:t>废</w:t>
            </w:r>
            <w:r>
              <w:rPr>
                <w:rFonts w:hint="default" w:ascii="宋体" w:hAnsi="宋体" w:eastAsia="宋体" w:cs="宋体"/>
                <w:color w:val="000000"/>
                <w:sz w:val="21"/>
                <w:szCs w:val="21"/>
              </w:rPr>
              <w:t>水主要为医务人员、门诊病人及观察病人产生的</w:t>
            </w:r>
            <w:r>
              <w:rPr>
                <w:rFonts w:hint="eastAsia" w:ascii="宋体" w:hAnsi="宋体" w:eastAsia="宋体" w:cs="宋体"/>
                <w:color w:val="000000"/>
                <w:sz w:val="21"/>
                <w:szCs w:val="21"/>
                <w:lang w:val="en-US" w:eastAsia="zh-CN"/>
              </w:rPr>
              <w:t>医疗</w:t>
            </w:r>
            <w:r>
              <w:rPr>
                <w:rFonts w:hint="default" w:ascii="宋体" w:hAnsi="宋体" w:eastAsia="宋体" w:cs="宋体"/>
                <w:color w:val="000000"/>
                <w:sz w:val="21"/>
                <w:szCs w:val="21"/>
              </w:rPr>
              <w:t>废水</w:t>
            </w:r>
            <w:r>
              <w:rPr>
                <w:rFonts w:hint="eastAsia" w:ascii="宋体" w:hAnsi="宋体" w:eastAsia="宋体" w:cs="宋体"/>
                <w:color w:val="000000"/>
                <w:sz w:val="21"/>
                <w:szCs w:val="21"/>
                <w:lang w:eastAsia="zh-CN"/>
              </w:rPr>
              <w:t>、</w:t>
            </w:r>
            <w:r>
              <w:rPr>
                <w:rFonts w:hint="default" w:ascii="宋体" w:hAnsi="宋体" w:eastAsia="宋体" w:cs="宋体"/>
                <w:color w:val="000000"/>
                <w:sz w:val="21"/>
                <w:szCs w:val="21"/>
              </w:rPr>
              <w:t>生活污水</w:t>
            </w:r>
            <w:r>
              <w:rPr>
                <w:rFonts w:hint="eastAsia" w:ascii="宋体" w:hAnsi="宋体" w:eastAsia="宋体" w:cs="宋体"/>
                <w:color w:val="000000"/>
                <w:sz w:val="21"/>
                <w:szCs w:val="21"/>
                <w:lang w:val="en-US" w:eastAsia="zh-CN"/>
              </w:rPr>
              <w:t>和检验废水</w:t>
            </w:r>
            <w:r>
              <w:rPr>
                <w:rFonts w:hint="default" w:ascii="宋体" w:hAnsi="宋体" w:eastAsia="宋体" w:cs="宋体"/>
                <w:color w:val="000000"/>
                <w:sz w:val="21"/>
                <w:szCs w:val="21"/>
              </w:rPr>
              <w:t>。</w:t>
            </w:r>
            <w:r>
              <w:rPr>
                <w:rFonts w:hint="eastAsia" w:ascii="宋体" w:hAnsi="宋体" w:eastAsia="宋体" w:cs="宋体"/>
                <w:color w:val="000000"/>
                <w:sz w:val="21"/>
                <w:szCs w:val="21"/>
                <w:lang w:val="en-US" w:eastAsia="zh-CN"/>
              </w:rPr>
              <w:t>医</w:t>
            </w:r>
            <w:r>
              <w:rPr>
                <w:rFonts w:hint="eastAsia" w:ascii="宋体" w:hAnsi="宋体" w:eastAsia="宋体" w:cs="宋体"/>
                <w:color w:val="000000"/>
                <w:sz w:val="21"/>
                <w:szCs w:val="21"/>
              </w:rPr>
              <w:t>疗</w:t>
            </w:r>
            <w:r>
              <w:rPr>
                <w:rFonts w:hint="eastAsia" w:ascii="宋体" w:hAnsi="宋体" w:eastAsia="宋体" w:cs="宋体"/>
                <w:color w:val="000000"/>
                <w:sz w:val="21"/>
                <w:szCs w:val="21"/>
                <w:lang w:val="en-US" w:eastAsia="zh-CN"/>
              </w:rPr>
              <w:t>废</w:t>
            </w:r>
            <w:r>
              <w:rPr>
                <w:rFonts w:hint="eastAsia" w:ascii="宋体" w:hAnsi="宋体" w:eastAsia="宋体" w:cs="宋体"/>
                <w:color w:val="000000"/>
                <w:sz w:val="21"/>
                <w:szCs w:val="21"/>
              </w:rPr>
              <w:t>水主要含SS、COD、BOD5、NH3-N、病原菌等污染物</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检验</w:t>
            </w:r>
            <w:r>
              <w:rPr>
                <w:rFonts w:hint="default" w:ascii="宋体" w:hAnsi="宋体" w:eastAsia="宋体" w:cs="宋体"/>
                <w:color w:val="000000"/>
                <w:sz w:val="21"/>
                <w:szCs w:val="21"/>
              </w:rPr>
              <w:t>废水主要为检验、分析过程产生的酸性污水、含铬污水</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生活污水主要污染物为</w:t>
            </w:r>
            <w:r>
              <w:rPr>
                <w:rFonts w:hint="eastAsia" w:ascii="宋体" w:hAnsi="宋体" w:eastAsia="宋体" w:cs="宋体"/>
                <w:color w:val="000000"/>
                <w:sz w:val="21"/>
                <w:szCs w:val="21"/>
              </w:rPr>
              <w:t>SS、COD、BOD5、NH3-N、</w:t>
            </w:r>
            <w:r>
              <w:rPr>
                <w:rFonts w:hint="eastAsia" w:ascii="宋体" w:hAnsi="宋体" w:eastAsia="宋体" w:cs="宋体"/>
                <w:color w:val="000000"/>
                <w:sz w:val="21"/>
                <w:szCs w:val="21"/>
                <w:lang w:val="en-US" w:eastAsia="zh-CN"/>
              </w:rPr>
              <w:t>TP</w:t>
            </w:r>
            <w:r>
              <w:rPr>
                <w:rFonts w:hint="eastAsia" w:ascii="宋体" w:hAnsi="宋体" w:eastAsia="宋体" w:cs="宋体"/>
                <w:color w:val="000000"/>
                <w:sz w:val="21"/>
                <w:szCs w:val="21"/>
              </w:rPr>
              <w:t>等。</w:t>
            </w:r>
            <w:r>
              <w:rPr>
                <w:rFonts w:hint="eastAsia" w:ascii="宋体" w:hAnsi="宋体" w:eastAsia="宋体" w:cs="宋体"/>
                <w:color w:val="000000"/>
                <w:sz w:val="21"/>
                <w:szCs w:val="21"/>
                <w:lang w:val="en-US" w:eastAsia="zh-CN"/>
              </w:rPr>
              <w:t>本项目运营期各检</w:t>
            </w:r>
            <w:r>
              <w:rPr>
                <w:rFonts w:hint="default" w:ascii="宋体" w:hAnsi="宋体" w:eastAsia="宋体" w:cs="宋体"/>
                <w:color w:val="000000"/>
                <w:sz w:val="21"/>
                <w:szCs w:val="21"/>
              </w:rPr>
              <w:t>验室废水经分质预处理，与医疗废水、生活污水一起经化粪池截留沉淀后，经</w:t>
            </w:r>
            <w:r>
              <w:rPr>
                <w:rFonts w:hint="eastAsia" w:ascii="宋体" w:hAnsi="宋体" w:eastAsia="宋体" w:cs="宋体"/>
                <w:color w:val="000000"/>
                <w:sz w:val="21"/>
                <w:szCs w:val="21"/>
                <w:lang w:eastAsia="zh-CN"/>
              </w:rPr>
              <w:t>一体化污水处理设施</w:t>
            </w:r>
            <w:r>
              <w:rPr>
                <w:rFonts w:hint="default" w:ascii="宋体" w:hAnsi="宋体" w:eastAsia="宋体" w:cs="宋体"/>
                <w:color w:val="000000"/>
                <w:sz w:val="21"/>
                <w:szCs w:val="21"/>
              </w:rPr>
              <w:t>后达到《医疗机构水污染物排放标准》(GB18466-2005)表2预处理标准后</w:t>
            </w:r>
            <w:r>
              <w:rPr>
                <w:rFonts w:hint="eastAsia" w:ascii="宋体" w:hAnsi="宋体" w:eastAsia="宋体" w:cs="宋体"/>
                <w:color w:val="000000"/>
                <w:sz w:val="21"/>
                <w:szCs w:val="21"/>
                <w:lang w:eastAsia="zh-CN"/>
              </w:rPr>
              <w:t>，</w:t>
            </w:r>
            <w:r>
              <w:rPr>
                <w:rFonts w:hint="default" w:ascii="宋体" w:hAnsi="宋体" w:eastAsia="宋体" w:cs="宋体"/>
                <w:color w:val="000000"/>
                <w:sz w:val="21"/>
                <w:szCs w:val="21"/>
                <w:lang w:eastAsia="zh-CN"/>
              </w:rPr>
              <w:t>排入枣山路市政道路污水管网，经</w:t>
            </w:r>
            <w:r>
              <w:rPr>
                <w:rFonts w:hint="eastAsia" w:ascii="宋体" w:hAnsi="宋体" w:eastAsia="宋体" w:cs="宋体"/>
                <w:color w:val="000000"/>
                <w:sz w:val="21"/>
                <w:szCs w:val="21"/>
                <w:lang w:val="en-US" w:eastAsia="zh-CN"/>
              </w:rPr>
              <w:t>鲤鱼排水主干线市政污水管</w:t>
            </w:r>
            <w:r>
              <w:rPr>
                <w:rFonts w:hint="eastAsia" w:ascii="宋体" w:hAnsi="宋体" w:eastAsia="宋体" w:cs="宋体"/>
                <w:color w:val="000000"/>
                <w:sz w:val="21"/>
                <w:szCs w:val="21"/>
                <w:lang w:eastAsia="zh-CN"/>
              </w:rPr>
              <w:t>、</w:t>
            </w:r>
            <w:r>
              <w:rPr>
                <w:rFonts w:hint="default" w:ascii="宋体" w:hAnsi="宋体" w:eastAsia="宋体" w:cs="宋体"/>
                <w:color w:val="000000"/>
                <w:sz w:val="21"/>
                <w:szCs w:val="21"/>
                <w:lang w:eastAsia="zh-CN"/>
              </w:rPr>
              <w:t>市西河</w:t>
            </w:r>
            <w:r>
              <w:rPr>
                <w:rFonts w:hint="eastAsia" w:ascii="宋体" w:hAnsi="宋体" w:eastAsia="宋体" w:cs="宋体"/>
                <w:color w:val="000000"/>
                <w:sz w:val="21"/>
                <w:szCs w:val="21"/>
                <w:lang w:val="en-US" w:eastAsia="zh-CN"/>
              </w:rPr>
              <w:t>截</w:t>
            </w:r>
            <w:r>
              <w:rPr>
                <w:rFonts w:hint="default" w:ascii="宋体" w:hAnsi="宋体" w:eastAsia="宋体" w:cs="宋体"/>
                <w:color w:val="000000"/>
                <w:sz w:val="21"/>
                <w:szCs w:val="21"/>
                <w:lang w:eastAsia="zh-CN"/>
              </w:rPr>
              <w:t>污沟</w:t>
            </w:r>
            <w:r>
              <w:rPr>
                <w:rFonts w:hint="eastAsia" w:ascii="宋体" w:hAnsi="宋体" w:eastAsia="宋体" w:cs="宋体"/>
                <w:color w:val="000000"/>
                <w:sz w:val="21"/>
                <w:szCs w:val="21"/>
                <w:lang w:eastAsia="zh-CN"/>
              </w:rPr>
              <w:t>、南明河左岸截污沟</w:t>
            </w:r>
            <w:r>
              <w:rPr>
                <w:rFonts w:hint="default" w:ascii="宋体" w:hAnsi="宋体" w:eastAsia="宋体" w:cs="宋体"/>
                <w:color w:val="000000"/>
                <w:sz w:val="21"/>
                <w:szCs w:val="21"/>
                <w:lang w:eastAsia="zh-CN"/>
              </w:rPr>
              <w:t>进入</w:t>
            </w:r>
            <w:r>
              <w:rPr>
                <w:rFonts w:hint="eastAsia" w:ascii="宋体" w:hAnsi="宋体" w:eastAsia="宋体" w:cs="宋体"/>
                <w:color w:val="000000"/>
                <w:sz w:val="21"/>
                <w:szCs w:val="21"/>
                <w:lang w:eastAsia="zh-CN"/>
              </w:rPr>
              <w:t>新庄污水处理厂(二期)</w:t>
            </w:r>
            <w:r>
              <w:rPr>
                <w:rFonts w:hint="default" w:ascii="宋体" w:hAnsi="宋体" w:eastAsia="宋体" w:cs="宋体"/>
                <w:color w:val="000000"/>
                <w:sz w:val="21"/>
                <w:szCs w:val="21"/>
                <w:lang w:eastAsia="zh-CN"/>
              </w:rPr>
              <w:t>处理，</w:t>
            </w:r>
            <w:r>
              <w:rPr>
                <w:rFonts w:hint="default" w:ascii="宋体" w:hAnsi="宋体" w:eastAsia="宋体" w:cs="宋体"/>
                <w:color w:val="000000"/>
                <w:sz w:val="21"/>
                <w:szCs w:val="21"/>
                <w:lang w:val="en-US" w:eastAsia="zh-CN"/>
              </w:rPr>
              <w:t>处理水质</w:t>
            </w:r>
            <w:r>
              <w:rPr>
                <w:rFonts w:hint="default" w:ascii="宋体" w:hAnsi="宋体" w:eastAsia="宋体" w:cs="宋体"/>
                <w:color w:val="000000"/>
                <w:sz w:val="21"/>
                <w:szCs w:val="21"/>
                <w:lang w:eastAsia="zh-CN"/>
              </w:rPr>
              <w:t>达到《城镇污水处理厂污染物排放标准》(GB18918-2002)及修改单一级A标准后，排入南明河。</w:t>
            </w:r>
          </w:p>
          <w:p>
            <w:pPr>
              <w:keepNext w:val="0"/>
              <w:keepLines w:val="0"/>
              <w:pageBreakBefore w:val="0"/>
              <w:widowControl w:val="0"/>
              <w:kinsoku/>
              <w:wordWrap/>
              <w:overflowPunct/>
              <w:topLinePunct w:val="0"/>
              <w:autoSpaceDE/>
              <w:autoSpaceDN/>
              <w:bidi w:val="0"/>
              <w:adjustRightInd w:val="0"/>
              <w:snapToGrid w:val="0"/>
              <w:spacing w:line="288" w:lineRule="auto"/>
              <w:ind w:left="220" w:leftChars="100" w:right="220" w:rightChars="100" w:firstLine="420" w:firstLineChars="200"/>
              <w:jc w:val="both"/>
              <w:textAlignment w:val="auto"/>
              <w:outlineLvl w:val="9"/>
              <w:rPr>
                <w:rFonts w:hint="default" w:ascii="宋体" w:hAnsi="宋体" w:eastAsia="宋体" w:cs="宋体"/>
                <w:color w:val="000000"/>
                <w:sz w:val="21"/>
                <w:szCs w:val="21"/>
                <w:lang w:eastAsia="zh-CN"/>
              </w:rPr>
            </w:pPr>
            <w:r>
              <w:rPr>
                <w:rFonts w:hint="default" w:ascii="宋体" w:hAnsi="宋体" w:eastAsia="宋体" w:cs="宋体"/>
                <w:color w:val="000000"/>
                <w:sz w:val="21"/>
                <w:szCs w:val="21"/>
                <w:lang w:eastAsia="zh-CN"/>
              </w:rPr>
              <w:t>③噪声防治措施</w:t>
            </w:r>
          </w:p>
          <w:p>
            <w:pPr>
              <w:keepNext w:val="0"/>
              <w:keepLines w:val="0"/>
              <w:pageBreakBefore w:val="0"/>
              <w:widowControl w:val="0"/>
              <w:kinsoku/>
              <w:wordWrap/>
              <w:overflowPunct/>
              <w:topLinePunct w:val="0"/>
              <w:autoSpaceDE/>
              <w:autoSpaceDN/>
              <w:bidi w:val="0"/>
              <w:adjustRightInd w:val="0"/>
              <w:snapToGrid w:val="0"/>
              <w:spacing w:line="288" w:lineRule="auto"/>
              <w:ind w:left="220" w:leftChars="100" w:right="220" w:rightChars="100" w:firstLine="420" w:firstLineChars="200"/>
              <w:jc w:val="both"/>
              <w:textAlignment w:val="auto"/>
              <w:outlineLvl w:val="9"/>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本项目噪声源主要</w:t>
            </w:r>
            <w:r>
              <w:rPr>
                <w:rFonts w:hint="eastAsia" w:ascii="宋体" w:hAnsi="宋体" w:eastAsia="宋体" w:cs="宋体"/>
                <w:color w:val="000000"/>
                <w:sz w:val="21"/>
                <w:szCs w:val="21"/>
                <w:lang w:val="en-US" w:eastAsia="zh-CN"/>
              </w:rPr>
              <w:t>是</w:t>
            </w:r>
            <w:r>
              <w:rPr>
                <w:rFonts w:hint="eastAsia" w:ascii="宋体" w:hAnsi="宋体" w:eastAsia="宋体" w:cs="宋体"/>
                <w:color w:val="000000"/>
                <w:sz w:val="21"/>
                <w:szCs w:val="21"/>
                <w:lang w:eastAsia="zh-CN"/>
              </w:rPr>
              <w:t>设备噪声。排风机、换风机、空调机等设备噪声声功率级</w:t>
            </w:r>
            <w:r>
              <w:rPr>
                <w:rFonts w:hint="eastAsia" w:ascii="宋体" w:hAnsi="宋体" w:eastAsia="宋体" w:cs="宋体"/>
                <w:color w:val="000000"/>
                <w:sz w:val="21"/>
                <w:szCs w:val="21"/>
                <w:lang w:val="en-US" w:eastAsia="zh-CN"/>
              </w:rPr>
              <w:t>75</w:t>
            </w:r>
            <w:r>
              <w:rPr>
                <w:rFonts w:hint="default" w:ascii="宋体" w:hAnsi="宋体" w:eastAsia="宋体" w:cs="宋体"/>
                <w:color w:val="000000"/>
                <w:sz w:val="21"/>
                <w:szCs w:val="21"/>
                <w:lang w:eastAsia="zh-CN"/>
              </w:rPr>
              <w:t>dB(A)～</w:t>
            </w:r>
            <w:r>
              <w:rPr>
                <w:rFonts w:hint="eastAsia" w:ascii="宋体" w:hAnsi="宋体" w:eastAsia="宋体" w:cs="宋体"/>
                <w:color w:val="000000"/>
                <w:sz w:val="21"/>
                <w:szCs w:val="21"/>
                <w:lang w:val="en-US" w:eastAsia="zh-CN"/>
              </w:rPr>
              <w:t>85</w:t>
            </w:r>
            <w:r>
              <w:rPr>
                <w:rFonts w:hint="default" w:ascii="宋体" w:hAnsi="宋体" w:eastAsia="宋体" w:cs="宋体"/>
                <w:color w:val="000000"/>
                <w:sz w:val="21"/>
                <w:szCs w:val="21"/>
                <w:lang w:eastAsia="zh-CN"/>
              </w:rPr>
              <w:t>dB(A)</w:t>
            </w:r>
            <w:r>
              <w:rPr>
                <w:rFonts w:hint="eastAsia" w:ascii="宋体" w:hAnsi="宋体" w:eastAsia="宋体" w:cs="宋体"/>
                <w:color w:val="000000"/>
                <w:sz w:val="21"/>
                <w:szCs w:val="21"/>
                <w:lang w:eastAsia="zh-CN"/>
              </w:rPr>
              <w:t>。排风机、换风机、空调机等设备在选型上选用低噪声设备，</w:t>
            </w:r>
            <w:r>
              <w:rPr>
                <w:rFonts w:hint="eastAsia" w:ascii="宋体" w:hAnsi="宋体" w:eastAsia="宋体" w:cs="宋体"/>
                <w:color w:val="000000"/>
                <w:sz w:val="21"/>
                <w:szCs w:val="21"/>
                <w:lang w:val="en-US" w:eastAsia="zh-CN"/>
              </w:rPr>
              <w:t>对噪声大的设备采用必要的消声、吸声、隔声等降噪措施，设备产生的噪声经吸声、隔声后可以达到</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工业企业厂界环境噪声排放标准</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(GB12348-2008)2类标准</w:t>
            </w:r>
            <w:r>
              <w:rPr>
                <w:rFonts w:hint="eastAsia" w:ascii="宋体" w:hAnsi="宋体" w:eastAsia="宋体" w:cs="宋体"/>
                <w:color w:val="000000"/>
                <w:sz w:val="21"/>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288" w:lineRule="auto"/>
              <w:ind w:left="220" w:leftChars="100" w:right="220" w:rightChars="100" w:firstLine="420" w:firstLineChars="200"/>
              <w:jc w:val="both"/>
              <w:textAlignment w:val="auto"/>
              <w:outlineLvl w:val="9"/>
              <w:rPr>
                <w:rFonts w:hint="default" w:ascii="宋体" w:hAnsi="宋体" w:eastAsia="宋体" w:cs="宋体"/>
                <w:color w:val="000000"/>
                <w:sz w:val="21"/>
                <w:szCs w:val="21"/>
                <w:lang w:eastAsia="zh-CN"/>
              </w:rPr>
            </w:pPr>
            <w:r>
              <w:rPr>
                <w:rFonts w:hint="default" w:ascii="宋体" w:hAnsi="宋体" w:eastAsia="宋体" w:cs="宋体"/>
                <w:color w:val="000000"/>
                <w:sz w:val="21"/>
                <w:szCs w:val="21"/>
                <w:lang w:eastAsia="zh-CN"/>
              </w:rPr>
              <w:t>④固体废物污染防治措施</w:t>
            </w:r>
          </w:p>
          <w:p>
            <w:pPr>
              <w:keepNext w:val="0"/>
              <w:keepLines w:val="0"/>
              <w:pageBreakBefore w:val="0"/>
              <w:widowControl w:val="0"/>
              <w:kinsoku/>
              <w:wordWrap/>
              <w:overflowPunct/>
              <w:topLinePunct w:val="0"/>
              <w:autoSpaceDE/>
              <w:autoSpaceDN/>
              <w:bidi w:val="0"/>
              <w:adjustRightInd w:val="0"/>
              <w:snapToGrid w:val="0"/>
              <w:spacing w:line="288" w:lineRule="auto"/>
              <w:ind w:left="220" w:leftChars="100" w:right="220" w:rightChars="100" w:firstLine="420" w:firstLineChars="200"/>
              <w:jc w:val="both"/>
              <w:textAlignment w:val="auto"/>
              <w:outlineLvl w:val="9"/>
              <w:rPr>
                <w:rFonts w:hint="default" w:ascii="宋体" w:hAnsi="宋体" w:eastAsia="宋体" w:cs="宋体"/>
                <w:color w:val="000000"/>
                <w:sz w:val="21"/>
                <w:szCs w:val="21"/>
              </w:rPr>
            </w:pPr>
            <w:r>
              <w:rPr>
                <w:rFonts w:hint="eastAsia" w:ascii="宋体" w:hAnsi="宋体" w:eastAsia="宋体" w:cs="宋体"/>
                <w:color w:val="000000"/>
                <w:sz w:val="21"/>
                <w:szCs w:val="21"/>
                <w:lang w:val="en-US" w:eastAsia="zh-CN"/>
              </w:rPr>
              <w:t>本项目</w:t>
            </w:r>
            <w:r>
              <w:rPr>
                <w:rFonts w:hint="default" w:ascii="宋体" w:hAnsi="宋体" w:eastAsia="宋体" w:cs="宋体"/>
                <w:color w:val="000000"/>
                <w:sz w:val="21"/>
                <w:szCs w:val="21"/>
              </w:rPr>
              <w:t>对</w:t>
            </w:r>
            <w:r>
              <w:rPr>
                <w:rFonts w:hint="eastAsia" w:ascii="宋体" w:hAnsi="宋体" w:eastAsia="宋体" w:cs="宋体"/>
                <w:color w:val="000000"/>
                <w:sz w:val="21"/>
                <w:szCs w:val="21"/>
                <w:lang w:val="en-US" w:eastAsia="zh-CN"/>
              </w:rPr>
              <w:t>过期药品(HW03废药物、药品)、</w:t>
            </w:r>
            <w:r>
              <w:rPr>
                <w:rFonts w:hint="default" w:ascii="宋体" w:hAnsi="宋体" w:eastAsia="宋体" w:cs="宋体"/>
                <w:color w:val="000000"/>
                <w:sz w:val="21"/>
                <w:szCs w:val="21"/>
              </w:rPr>
              <w:t>医疗废物</w:t>
            </w:r>
            <w:r>
              <w:rPr>
                <w:rFonts w:hint="eastAsia" w:ascii="宋体" w:hAnsi="宋体" w:eastAsia="宋体" w:cs="宋体"/>
                <w:color w:val="000000"/>
                <w:sz w:val="21"/>
                <w:szCs w:val="21"/>
                <w:lang w:val="en-US" w:eastAsia="zh-CN"/>
              </w:rPr>
              <w:t>(</w:t>
            </w:r>
            <w:r>
              <w:rPr>
                <w:rFonts w:hint="default" w:ascii="宋体" w:hAnsi="宋体" w:eastAsia="宋体" w:cs="宋体"/>
                <w:color w:val="000000"/>
                <w:sz w:val="21"/>
                <w:szCs w:val="21"/>
              </w:rPr>
              <w:t>HW0</w:t>
            </w:r>
            <w:r>
              <w:rPr>
                <w:rFonts w:hint="eastAsia" w:ascii="宋体" w:hAnsi="宋体" w:eastAsia="宋体" w:cs="宋体"/>
                <w:color w:val="000000"/>
                <w:sz w:val="21"/>
                <w:szCs w:val="21"/>
                <w:lang w:val="en-US" w:eastAsia="zh-CN"/>
              </w:rPr>
              <w:t>1医院临床废物)</w:t>
            </w:r>
            <w:r>
              <w:rPr>
                <w:rFonts w:hint="default" w:ascii="宋体" w:hAnsi="宋体" w:eastAsia="宋体" w:cs="宋体"/>
                <w:color w:val="000000"/>
                <w:sz w:val="21"/>
                <w:szCs w:val="21"/>
              </w:rPr>
              <w:t>进行分类收集</w:t>
            </w:r>
            <w:r>
              <w:rPr>
                <w:rFonts w:hint="eastAsia" w:ascii="宋体" w:hAnsi="宋体" w:eastAsia="宋体" w:cs="宋体"/>
                <w:color w:val="000000"/>
                <w:sz w:val="21"/>
                <w:szCs w:val="21"/>
                <w:lang w:eastAsia="zh-CN"/>
              </w:rPr>
              <w:t>，</w:t>
            </w:r>
            <w:r>
              <w:rPr>
                <w:rFonts w:hint="default" w:ascii="宋体" w:hAnsi="宋体" w:eastAsia="宋体" w:cs="宋体"/>
                <w:color w:val="000000"/>
                <w:sz w:val="21"/>
                <w:szCs w:val="21"/>
              </w:rPr>
              <w:t>在各科室收集时即预消毒处理后打包装好，然后送至</w:t>
            </w:r>
            <w:r>
              <w:rPr>
                <w:rFonts w:hint="eastAsia" w:ascii="宋体" w:hAnsi="宋体" w:eastAsia="宋体" w:cs="宋体"/>
                <w:color w:val="000000"/>
                <w:sz w:val="21"/>
                <w:szCs w:val="21"/>
                <w:lang w:eastAsia="zh-CN"/>
              </w:rPr>
              <w:t>医疗危废暂存间</w:t>
            </w:r>
            <w:r>
              <w:rPr>
                <w:rFonts w:hint="default" w:ascii="宋体" w:hAnsi="宋体" w:eastAsia="宋体" w:cs="宋体"/>
                <w:color w:val="000000"/>
                <w:sz w:val="21"/>
                <w:szCs w:val="21"/>
              </w:rPr>
              <w:t>。</w:t>
            </w:r>
          </w:p>
          <w:p>
            <w:pPr>
              <w:keepNext w:val="0"/>
              <w:keepLines w:val="0"/>
              <w:pageBreakBefore w:val="0"/>
              <w:widowControl w:val="0"/>
              <w:kinsoku/>
              <w:wordWrap/>
              <w:overflowPunct/>
              <w:topLinePunct w:val="0"/>
              <w:autoSpaceDE/>
              <w:autoSpaceDN/>
              <w:bidi w:val="0"/>
              <w:adjustRightInd w:val="0"/>
              <w:snapToGrid w:val="0"/>
              <w:spacing w:line="288" w:lineRule="auto"/>
              <w:ind w:left="220" w:leftChars="100" w:right="220" w:rightChars="100" w:firstLine="420" w:firstLineChars="200"/>
              <w:jc w:val="both"/>
              <w:textAlignment w:val="auto"/>
              <w:outlineLvl w:val="9"/>
              <w:rPr>
                <w:rFonts w:hint="eastAsia" w:ascii="宋体" w:hAnsi="宋体" w:eastAsia="宋体" w:cs="宋体"/>
                <w:color w:val="000000"/>
                <w:sz w:val="21"/>
                <w:szCs w:val="21"/>
              </w:rPr>
            </w:pPr>
            <w:r>
              <w:rPr>
                <w:rFonts w:hint="default" w:ascii="宋体" w:hAnsi="宋体" w:eastAsia="宋体" w:cs="宋体"/>
                <w:color w:val="000000"/>
                <w:sz w:val="21"/>
                <w:szCs w:val="21"/>
              </w:rPr>
              <w:t>分类收集</w:t>
            </w:r>
            <w:r>
              <w:rPr>
                <w:rFonts w:hint="eastAsia" w:ascii="宋体" w:hAnsi="宋体" w:eastAsia="宋体" w:cs="宋体"/>
                <w:color w:val="000000"/>
                <w:sz w:val="21"/>
                <w:szCs w:val="21"/>
                <w:lang w:val="en-US" w:eastAsia="zh-CN"/>
              </w:rPr>
              <w:t>本卫生服务中心</w:t>
            </w:r>
            <w:r>
              <w:rPr>
                <w:rFonts w:hint="default" w:ascii="宋体" w:hAnsi="宋体" w:eastAsia="宋体" w:cs="宋体"/>
                <w:color w:val="000000"/>
                <w:sz w:val="21"/>
                <w:szCs w:val="21"/>
              </w:rPr>
              <w:t>产生的各类医疗废物。对一次性输液管等使用后立即剪断破坏，粉碎锐器，并按照类别分置于防渗漏、防锐器穿透的专用包装物或者密闭的容器内，医疗废物使用专用包装物、容器，有明显的警示标识和警示说明。</w:t>
            </w:r>
          </w:p>
          <w:p>
            <w:pPr>
              <w:keepNext w:val="0"/>
              <w:keepLines w:val="0"/>
              <w:pageBreakBefore w:val="0"/>
              <w:widowControl w:val="0"/>
              <w:kinsoku/>
              <w:wordWrap/>
              <w:overflowPunct/>
              <w:topLinePunct w:val="0"/>
              <w:autoSpaceDE/>
              <w:autoSpaceDN/>
              <w:bidi w:val="0"/>
              <w:adjustRightInd w:val="0"/>
              <w:snapToGrid w:val="0"/>
              <w:spacing w:line="288" w:lineRule="auto"/>
              <w:ind w:left="220" w:leftChars="100" w:right="220" w:rightChars="100" w:firstLine="420" w:firstLineChars="200"/>
              <w:jc w:val="both"/>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化粪池、一体化污水处理设施</w:t>
            </w:r>
            <w:r>
              <w:rPr>
                <w:rFonts w:hint="eastAsia" w:ascii="宋体" w:hAnsi="宋体" w:eastAsia="宋体" w:cs="宋体"/>
                <w:color w:val="000000"/>
                <w:sz w:val="21"/>
                <w:szCs w:val="21"/>
              </w:rPr>
              <w:t>产生的栅渣、污泥属于危险废物</w:t>
            </w:r>
            <w:r>
              <w:rPr>
                <w:rFonts w:hint="eastAsia" w:ascii="宋体" w:hAnsi="宋体" w:eastAsia="宋体" w:cs="宋体"/>
                <w:color w:val="000000"/>
                <w:sz w:val="21"/>
                <w:szCs w:val="21"/>
                <w:lang w:val="en-US" w:eastAsia="zh-CN"/>
              </w:rPr>
              <w:t>(</w:t>
            </w:r>
            <w:r>
              <w:rPr>
                <w:rFonts w:hint="default" w:ascii="宋体" w:hAnsi="宋体" w:eastAsia="宋体" w:cs="宋体"/>
                <w:color w:val="000000"/>
                <w:sz w:val="21"/>
                <w:szCs w:val="21"/>
              </w:rPr>
              <w:t>HW0</w:t>
            </w:r>
            <w:r>
              <w:rPr>
                <w:rFonts w:hint="eastAsia" w:ascii="宋体" w:hAnsi="宋体" w:eastAsia="宋体" w:cs="宋体"/>
                <w:color w:val="000000"/>
                <w:sz w:val="21"/>
                <w:szCs w:val="21"/>
                <w:lang w:val="en-US" w:eastAsia="zh-CN"/>
              </w:rPr>
              <w:t>1医院临床废物)</w:t>
            </w:r>
            <w:r>
              <w:rPr>
                <w:rFonts w:hint="eastAsia" w:ascii="宋体" w:hAnsi="宋体" w:eastAsia="宋体" w:cs="宋体"/>
                <w:color w:val="000000"/>
                <w:sz w:val="21"/>
                <w:szCs w:val="21"/>
              </w:rPr>
              <w:t>，污泥每年清掏2次，由具有相应资质的单位或部门清掏。栅渣、污泥均按照危险废物送至贵州省危险废物暨贵阳市医疗废物处理处置中心处置。</w:t>
            </w:r>
          </w:p>
          <w:p>
            <w:pPr>
              <w:keepNext w:val="0"/>
              <w:keepLines w:val="0"/>
              <w:pageBreakBefore w:val="0"/>
              <w:widowControl w:val="0"/>
              <w:kinsoku/>
              <w:wordWrap/>
              <w:overflowPunct/>
              <w:topLinePunct w:val="0"/>
              <w:autoSpaceDE/>
              <w:autoSpaceDN/>
              <w:bidi w:val="0"/>
              <w:adjustRightInd w:val="0"/>
              <w:snapToGrid w:val="0"/>
              <w:spacing w:line="288" w:lineRule="auto"/>
              <w:ind w:left="220" w:leftChars="100" w:right="220" w:rightChars="100" w:firstLine="420" w:firstLineChars="200"/>
              <w:jc w:val="both"/>
              <w:textAlignment w:val="auto"/>
              <w:outlineLvl w:val="9"/>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生活垃圾统一收集集中后</w:t>
            </w:r>
            <w:r>
              <w:rPr>
                <w:rFonts w:hint="eastAsia" w:ascii="宋体" w:hAnsi="宋体" w:eastAsia="宋体" w:cs="宋体"/>
                <w:color w:val="000000"/>
                <w:sz w:val="21"/>
                <w:szCs w:val="21"/>
                <w:lang w:val="en-US" w:eastAsia="zh-CN"/>
              </w:rPr>
              <w:t>转运至社区</w:t>
            </w:r>
            <w:r>
              <w:rPr>
                <w:rFonts w:hint="eastAsia" w:ascii="宋体" w:hAnsi="宋体" w:eastAsia="宋体" w:cs="宋体"/>
                <w:color w:val="000000"/>
                <w:sz w:val="21"/>
                <w:szCs w:val="21"/>
              </w:rPr>
              <w:t>生活垃圾收集站，由市政环卫部门送贵阳市</w:t>
            </w:r>
            <w:r>
              <w:rPr>
                <w:rFonts w:hint="eastAsia" w:ascii="宋体" w:hAnsi="宋体" w:eastAsia="宋体" w:cs="宋体"/>
                <w:color w:val="000000"/>
                <w:sz w:val="21"/>
                <w:szCs w:val="21"/>
                <w:lang w:val="en-US" w:eastAsia="zh-CN"/>
              </w:rPr>
              <w:t>比例坝</w:t>
            </w:r>
            <w:r>
              <w:rPr>
                <w:rFonts w:hint="eastAsia" w:ascii="宋体" w:hAnsi="宋体" w:eastAsia="宋体" w:cs="宋体"/>
                <w:color w:val="000000"/>
                <w:sz w:val="21"/>
                <w:szCs w:val="21"/>
              </w:rPr>
              <w:t>生活垃圾填埋场卫生填埋。</w:t>
            </w:r>
          </w:p>
          <w:p>
            <w:pPr>
              <w:keepNext w:val="0"/>
              <w:keepLines w:val="0"/>
              <w:pageBreakBefore w:val="0"/>
              <w:widowControl w:val="0"/>
              <w:kinsoku/>
              <w:wordWrap/>
              <w:overflowPunct/>
              <w:topLinePunct w:val="0"/>
              <w:autoSpaceDE/>
              <w:autoSpaceDN/>
              <w:bidi w:val="0"/>
              <w:adjustRightInd w:val="0"/>
              <w:snapToGrid w:val="0"/>
              <w:spacing w:line="288" w:lineRule="auto"/>
              <w:ind w:left="220" w:leftChars="100" w:right="220" w:rightChars="100" w:firstLine="420" w:firstLineChars="200"/>
              <w:jc w:val="both"/>
              <w:textAlignment w:val="auto"/>
              <w:outlineLvl w:val="9"/>
              <w:rPr>
                <w:rFonts w:hint="default" w:ascii="宋体" w:hAnsi="宋体" w:eastAsia="宋体" w:cs="宋体"/>
                <w:color w:val="000000"/>
                <w:sz w:val="21"/>
                <w:szCs w:val="21"/>
                <w:lang w:eastAsia="zh-CN"/>
              </w:rPr>
            </w:pPr>
            <w:r>
              <w:rPr>
                <w:rFonts w:hint="default" w:ascii="宋体" w:hAnsi="宋体" w:eastAsia="宋体" w:cs="宋体"/>
                <w:color w:val="000000"/>
                <w:sz w:val="21"/>
                <w:szCs w:val="21"/>
                <w:lang w:eastAsia="zh-CN"/>
              </w:rPr>
              <w:t>经过上述措施处置之后，本项目的固体废物对环境影响较小。</w:t>
            </w:r>
          </w:p>
          <w:p>
            <w:pPr>
              <w:keepNext w:val="0"/>
              <w:keepLines w:val="0"/>
              <w:pageBreakBefore w:val="0"/>
              <w:widowControl w:val="0"/>
              <w:kinsoku/>
              <w:wordWrap/>
              <w:overflowPunct/>
              <w:topLinePunct w:val="0"/>
              <w:autoSpaceDE/>
              <w:autoSpaceDN/>
              <w:bidi w:val="0"/>
              <w:adjustRightInd w:val="0"/>
              <w:snapToGrid w:val="0"/>
              <w:spacing w:line="288" w:lineRule="auto"/>
              <w:ind w:left="220" w:leftChars="100" w:right="220" w:rightChars="100" w:firstLine="420" w:firstLineChars="200"/>
              <w:jc w:val="both"/>
              <w:textAlignment w:val="auto"/>
              <w:outlineLvl w:val="9"/>
              <w:rPr>
                <w:rFonts w:hint="default" w:ascii="宋体" w:hAnsi="宋体" w:eastAsia="宋体" w:cs="宋体"/>
                <w:color w:val="000000"/>
                <w:sz w:val="21"/>
                <w:szCs w:val="21"/>
                <w:lang w:eastAsia="zh-CN"/>
              </w:rPr>
            </w:pPr>
            <w:r>
              <w:rPr>
                <w:rFonts w:hint="eastAsia" w:ascii="宋体" w:hAnsi="宋体" w:eastAsia="宋体" w:cs="宋体"/>
                <w:color w:val="000000"/>
                <w:sz w:val="21"/>
                <w:szCs w:val="21"/>
                <w:lang w:val="en-US" w:eastAsia="zh-CN"/>
              </w:rPr>
              <w:t>7、本项目</w:t>
            </w:r>
            <w:r>
              <w:rPr>
                <w:rFonts w:hint="default" w:ascii="宋体" w:hAnsi="宋体" w:eastAsia="宋体" w:cs="宋体"/>
                <w:color w:val="000000"/>
                <w:sz w:val="21"/>
                <w:szCs w:val="21"/>
              </w:rPr>
              <w:t>按照国家和地方有关建设项目环境保护管理的条例进行环境保护的监督、检查和行政管理，在保证实现经济效益的同时，实现良好的环境效益。</w:t>
            </w:r>
            <w:r>
              <w:rPr>
                <w:rFonts w:hint="eastAsia" w:ascii="宋体" w:hAnsi="宋体" w:eastAsia="宋体" w:cs="宋体"/>
                <w:color w:val="000000"/>
                <w:sz w:val="21"/>
                <w:szCs w:val="21"/>
                <w:lang w:val="en-US" w:eastAsia="zh-CN"/>
              </w:rPr>
              <w:t>同时还</w:t>
            </w:r>
            <w:r>
              <w:rPr>
                <w:rFonts w:hint="default" w:ascii="宋体" w:hAnsi="宋体" w:eastAsia="宋体" w:cs="宋体"/>
                <w:color w:val="000000"/>
                <w:sz w:val="21"/>
                <w:szCs w:val="21"/>
                <w:lang w:eastAsia="zh-CN"/>
              </w:rPr>
              <w:t>应加强对化粪池及</w:t>
            </w:r>
            <w:r>
              <w:rPr>
                <w:rFonts w:hint="eastAsia" w:ascii="宋体" w:hAnsi="宋体" w:eastAsia="宋体" w:cs="宋体"/>
                <w:color w:val="000000"/>
                <w:sz w:val="21"/>
                <w:szCs w:val="21"/>
                <w:lang w:eastAsia="zh-CN"/>
              </w:rPr>
              <w:t>一体化污水处理设施</w:t>
            </w:r>
            <w:r>
              <w:rPr>
                <w:rFonts w:hint="default" w:ascii="宋体" w:hAnsi="宋体" w:eastAsia="宋体" w:cs="宋体"/>
                <w:color w:val="000000"/>
                <w:sz w:val="21"/>
                <w:szCs w:val="21"/>
                <w:lang w:eastAsia="zh-CN"/>
              </w:rPr>
              <w:t>的管理与维护，以防止装置发生故障、非正常运转，医疗废水不得事故性排放。</w:t>
            </w:r>
          </w:p>
          <w:p>
            <w:pPr>
              <w:keepNext w:val="0"/>
              <w:keepLines w:val="0"/>
              <w:pageBreakBefore w:val="0"/>
              <w:widowControl w:val="0"/>
              <w:kinsoku/>
              <w:wordWrap/>
              <w:overflowPunct/>
              <w:topLinePunct w:val="0"/>
              <w:autoSpaceDE/>
              <w:autoSpaceDN/>
              <w:bidi w:val="0"/>
              <w:adjustRightInd w:val="0"/>
              <w:snapToGrid w:val="0"/>
              <w:spacing w:line="288" w:lineRule="auto"/>
              <w:ind w:left="220" w:leftChars="100" w:right="220" w:rightChars="100" w:firstLine="420" w:firstLineChars="200"/>
              <w:jc w:val="both"/>
              <w:textAlignment w:val="auto"/>
              <w:outlineLvl w:val="9"/>
              <w:rPr>
                <w:rFonts w:hint="eastAsia" w:ascii="宋体" w:hAnsi="宋体" w:eastAsia="宋体" w:cs="宋体"/>
                <w:color w:val="000000"/>
                <w:sz w:val="21"/>
                <w:szCs w:val="21"/>
                <w:lang w:val="en-US" w:eastAsia="zh-CN"/>
              </w:rPr>
            </w:pPr>
            <w:r>
              <w:rPr>
                <w:rFonts w:hint="default" w:ascii="宋体" w:hAnsi="宋体" w:eastAsia="宋体" w:cs="宋体"/>
                <w:color w:val="000000"/>
                <w:sz w:val="21"/>
                <w:szCs w:val="21"/>
                <w:lang w:eastAsia="zh-CN"/>
              </w:rPr>
              <w:t>本项目营运期“三废”产生量小，并且经过相应的处理、控制后，排放的污染物量小。项目对生态环境各要素的影响很小。</w:t>
            </w:r>
          </w:p>
          <w:p>
            <w:pPr>
              <w:keepNext w:val="0"/>
              <w:keepLines w:val="0"/>
              <w:pageBreakBefore w:val="0"/>
              <w:widowControl w:val="0"/>
              <w:kinsoku/>
              <w:wordWrap w:val="0"/>
              <w:overflowPunct/>
              <w:topLinePunct w:val="0"/>
              <w:autoSpaceDE/>
              <w:autoSpaceDN/>
              <w:bidi w:val="0"/>
              <w:adjustRightInd w:val="0"/>
              <w:snapToGrid w:val="0"/>
              <w:spacing w:after="0" w:line="360" w:lineRule="auto"/>
              <w:ind w:left="209" w:leftChars="95" w:firstLine="0" w:firstLineChars="0"/>
              <w:jc w:val="both"/>
              <w:textAlignment w:val="auto"/>
              <w:outlineLvl w:val="9"/>
              <w:rPr>
                <w:rFonts w:hint="eastAsia" w:ascii="宋体" w:hAnsi="宋体" w:eastAsia="宋体" w:cs="宋体"/>
                <w:b/>
                <w:bCs/>
                <w:color w:val="000000"/>
                <w:sz w:val="21"/>
                <w:szCs w:val="21"/>
                <w:lang w:val="en-US" w:eastAsia="zh-CN"/>
              </w:rPr>
            </w:pPr>
          </w:p>
          <w:p>
            <w:pPr>
              <w:keepNext w:val="0"/>
              <w:keepLines w:val="0"/>
              <w:pageBreakBefore w:val="0"/>
              <w:widowControl w:val="0"/>
              <w:kinsoku/>
              <w:wordWrap w:val="0"/>
              <w:overflowPunct/>
              <w:topLinePunct w:val="0"/>
              <w:autoSpaceDE/>
              <w:autoSpaceDN/>
              <w:bidi w:val="0"/>
              <w:adjustRightInd w:val="0"/>
              <w:snapToGrid w:val="0"/>
              <w:spacing w:after="0" w:line="360" w:lineRule="auto"/>
              <w:ind w:left="209" w:leftChars="95" w:firstLine="0" w:firstLineChars="0"/>
              <w:jc w:val="both"/>
              <w:textAlignment w:val="auto"/>
              <w:outlineLvl w:val="9"/>
              <w:rPr>
                <w:rFonts w:hint="eastAsia" w:ascii="宋体" w:hAnsi="宋体" w:eastAsia="宋体" w:cs="宋体"/>
                <w:b/>
                <w:bCs/>
                <w:color w:val="000000"/>
                <w:sz w:val="21"/>
                <w:szCs w:val="21"/>
                <w:lang w:val="en-US" w:eastAsia="zh-CN"/>
              </w:rPr>
            </w:pPr>
          </w:p>
          <w:p>
            <w:pPr>
              <w:keepNext w:val="0"/>
              <w:keepLines w:val="0"/>
              <w:pageBreakBefore w:val="0"/>
              <w:widowControl w:val="0"/>
              <w:kinsoku/>
              <w:wordWrap w:val="0"/>
              <w:overflowPunct/>
              <w:topLinePunct w:val="0"/>
              <w:autoSpaceDE/>
              <w:autoSpaceDN/>
              <w:bidi w:val="0"/>
              <w:adjustRightInd w:val="0"/>
              <w:snapToGrid w:val="0"/>
              <w:spacing w:after="0" w:line="360" w:lineRule="auto"/>
              <w:ind w:left="209" w:leftChars="95" w:firstLine="0" w:firstLineChars="0"/>
              <w:jc w:val="both"/>
              <w:textAlignment w:val="auto"/>
              <w:outlineLvl w:val="9"/>
              <w:rPr>
                <w:rFonts w:hint="eastAsia" w:ascii="宋体" w:hAnsi="宋体" w:eastAsia="宋体" w:cs="宋体"/>
                <w:color w:val="000000"/>
                <w:sz w:val="21"/>
                <w:szCs w:val="21"/>
                <w:lang w:val="en-US" w:eastAsia="zh-CN"/>
              </w:rPr>
            </w:pPr>
            <w:r>
              <w:rPr>
                <w:rFonts w:hint="eastAsia" w:ascii="宋体" w:hAnsi="宋体" w:eastAsia="宋体" w:cs="宋体"/>
                <w:b/>
                <w:bCs/>
                <w:color w:val="000000"/>
                <w:sz w:val="21"/>
                <w:szCs w:val="21"/>
                <w:lang w:val="en-US" w:eastAsia="zh-CN"/>
              </w:rPr>
              <w:t>2</w:t>
            </w:r>
            <w:r>
              <w:rPr>
                <w:rFonts w:hint="default" w:ascii="宋体" w:hAnsi="宋体" w:eastAsia="宋体" w:cs="宋体"/>
                <w:b/>
                <w:bCs/>
                <w:color w:val="000000"/>
                <w:sz w:val="21"/>
                <w:szCs w:val="21"/>
                <w:lang w:val="en-US" w:eastAsia="zh-CN"/>
              </w:rPr>
              <w:t>、</w:t>
            </w:r>
            <w:r>
              <w:rPr>
                <w:rFonts w:hint="eastAsia" w:ascii="宋体" w:hAnsi="宋体" w:eastAsia="宋体" w:cs="宋体"/>
                <w:b/>
                <w:bCs/>
                <w:color w:val="000000"/>
                <w:sz w:val="21"/>
                <w:szCs w:val="21"/>
                <w:lang w:val="en-US" w:eastAsia="zh-CN"/>
              </w:rPr>
              <w:t>审批部门审批决定</w:t>
            </w:r>
          </w:p>
          <w:p>
            <w:pPr>
              <w:keepNext w:val="0"/>
              <w:keepLines w:val="0"/>
              <w:pageBreakBefore w:val="0"/>
              <w:widowControl/>
              <w:kinsoku/>
              <w:wordWrap/>
              <w:overflowPunct/>
              <w:topLinePunct w:val="0"/>
              <w:autoSpaceDE/>
              <w:autoSpaceDN/>
              <w:bidi w:val="0"/>
              <w:adjustRightInd w:val="0"/>
              <w:snapToGrid w:val="0"/>
              <w:spacing w:line="320" w:lineRule="exact"/>
              <w:ind w:right="220" w:rightChars="100"/>
              <w:jc w:val="both"/>
              <w:textAlignment w:val="auto"/>
              <w:outlineLvl w:val="9"/>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贵州省肿瘤医院有限公司：</w:t>
            </w:r>
          </w:p>
          <w:p>
            <w:pPr>
              <w:keepNext w:val="0"/>
              <w:keepLines w:val="0"/>
              <w:pageBreakBefore w:val="0"/>
              <w:widowControl/>
              <w:kinsoku/>
              <w:wordWrap/>
              <w:overflowPunct/>
              <w:topLinePunct w:val="0"/>
              <w:autoSpaceDE/>
              <w:autoSpaceDN/>
              <w:bidi w:val="0"/>
              <w:adjustRightInd w:val="0"/>
              <w:snapToGrid w:val="0"/>
              <w:spacing w:line="320" w:lineRule="exact"/>
              <w:ind w:left="220" w:leftChars="100" w:right="220" w:rightChars="100"/>
              <w:jc w:val="left"/>
              <w:textAlignment w:val="auto"/>
              <w:outlineLvl w:val="9"/>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 xml:space="preserve">   你公司报来《云岩区头桥社区第二卫生服务站建设项目环境影响报告表》（以下简称《报告表》）收悉。根据《报告表》的结论和建议，经研究，现批复如下：</w:t>
            </w:r>
          </w:p>
          <w:p>
            <w:pPr>
              <w:keepNext w:val="0"/>
              <w:keepLines w:val="0"/>
              <w:pageBreakBefore w:val="0"/>
              <w:widowControl/>
              <w:kinsoku/>
              <w:wordWrap/>
              <w:overflowPunct/>
              <w:topLinePunct w:val="0"/>
              <w:autoSpaceDE/>
              <w:autoSpaceDN/>
              <w:bidi w:val="0"/>
              <w:adjustRightInd w:val="0"/>
              <w:snapToGrid w:val="0"/>
              <w:spacing w:line="320" w:lineRule="exact"/>
              <w:ind w:left="220" w:leftChars="100" w:right="220" w:rightChars="100" w:firstLine="420" w:firstLineChars="200"/>
              <w:jc w:val="left"/>
              <w:textAlignment w:val="auto"/>
              <w:outlineLvl w:val="9"/>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一、《报告表》编制目的明确，评价内容较全面，可作为该项目经营和环境管理的依据。拟建项目位于贵阳市云岩区枣山路126号，项目占地面积754㎡ ，从事医疗行业。建设单位在认真落实《报告表》提出的各项环保措施的前提下，同意该项目在贵阳市云岩区枣山路126号选址。</w:t>
            </w:r>
          </w:p>
          <w:p>
            <w:pPr>
              <w:keepNext w:val="0"/>
              <w:keepLines w:val="0"/>
              <w:pageBreakBefore w:val="0"/>
              <w:widowControl/>
              <w:kinsoku/>
              <w:wordWrap/>
              <w:overflowPunct/>
              <w:topLinePunct w:val="0"/>
              <w:autoSpaceDE/>
              <w:autoSpaceDN/>
              <w:bidi w:val="0"/>
              <w:adjustRightInd w:val="0"/>
              <w:snapToGrid w:val="0"/>
              <w:spacing w:line="320" w:lineRule="exact"/>
              <w:ind w:left="220" w:leftChars="100" w:right="220" w:rightChars="100" w:firstLine="420" w:firstLineChars="200"/>
              <w:jc w:val="left"/>
              <w:textAlignment w:val="auto"/>
              <w:outlineLvl w:val="9"/>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二、原则上同意《报告表》提出的环境保护措施，要求在项目实施中予以落实。</w:t>
            </w:r>
          </w:p>
          <w:p>
            <w:pPr>
              <w:keepNext w:val="0"/>
              <w:keepLines w:val="0"/>
              <w:pageBreakBefore w:val="0"/>
              <w:widowControl/>
              <w:kinsoku/>
              <w:wordWrap/>
              <w:overflowPunct/>
              <w:topLinePunct w:val="0"/>
              <w:autoSpaceDE/>
              <w:autoSpaceDN/>
              <w:bidi w:val="0"/>
              <w:adjustRightInd w:val="0"/>
              <w:snapToGrid w:val="0"/>
              <w:spacing w:line="320" w:lineRule="exact"/>
              <w:ind w:left="220" w:leftChars="100" w:right="220" w:rightChars="100" w:firstLine="420" w:firstLineChars="200"/>
              <w:jc w:val="left"/>
              <w:textAlignment w:val="auto"/>
              <w:outlineLvl w:val="9"/>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一）该项目排水严格按照《报告表》提出措施。营运期各检查室废水经分质处理，与医疗废水，生活污水一起经粪化池截流沉淀后，经一体化污水处理设施处理达到《医疗机构水污染物排放标准》（GB18466-2005）表2预处理标准后排入市政污水管网，最终进入新庄污水处理厂处理。</w:t>
            </w:r>
          </w:p>
          <w:p>
            <w:pPr>
              <w:keepNext w:val="0"/>
              <w:keepLines w:val="0"/>
              <w:pageBreakBefore w:val="0"/>
              <w:widowControl/>
              <w:kinsoku/>
              <w:wordWrap/>
              <w:overflowPunct/>
              <w:topLinePunct w:val="0"/>
              <w:autoSpaceDE/>
              <w:autoSpaceDN/>
              <w:bidi w:val="0"/>
              <w:adjustRightInd w:val="0"/>
              <w:snapToGrid w:val="0"/>
              <w:spacing w:line="320" w:lineRule="exact"/>
              <w:ind w:left="220" w:leftChars="100" w:right="220" w:rightChars="100" w:firstLine="420" w:firstLineChars="200"/>
              <w:jc w:val="left"/>
              <w:textAlignment w:val="auto"/>
              <w:outlineLvl w:val="9"/>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（二）本项目不设食堂。放射科部分由医院单独申报，另行环评。</w:t>
            </w:r>
          </w:p>
          <w:p>
            <w:pPr>
              <w:keepNext w:val="0"/>
              <w:keepLines w:val="0"/>
              <w:pageBreakBefore w:val="0"/>
              <w:widowControl/>
              <w:kinsoku/>
              <w:wordWrap/>
              <w:overflowPunct/>
              <w:topLinePunct w:val="0"/>
              <w:autoSpaceDE/>
              <w:autoSpaceDN/>
              <w:bidi w:val="0"/>
              <w:adjustRightInd w:val="0"/>
              <w:snapToGrid w:val="0"/>
              <w:spacing w:line="320" w:lineRule="exact"/>
              <w:ind w:left="220" w:leftChars="100" w:right="220" w:rightChars="100" w:firstLine="420" w:firstLineChars="200"/>
              <w:jc w:val="left"/>
              <w:textAlignment w:val="auto"/>
              <w:outlineLvl w:val="9"/>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（三）医疗废物由专人分类收集到医疗垃圾暂存间，交由相关资质的公司处置；生活垃圾日产日清，由环卫部门统一处理。</w:t>
            </w:r>
          </w:p>
          <w:p>
            <w:pPr>
              <w:keepNext w:val="0"/>
              <w:keepLines w:val="0"/>
              <w:pageBreakBefore w:val="0"/>
              <w:widowControl/>
              <w:kinsoku/>
              <w:wordWrap/>
              <w:overflowPunct/>
              <w:topLinePunct w:val="0"/>
              <w:autoSpaceDE/>
              <w:autoSpaceDN/>
              <w:bidi w:val="0"/>
              <w:adjustRightInd w:val="0"/>
              <w:snapToGrid w:val="0"/>
              <w:spacing w:line="320" w:lineRule="exact"/>
              <w:ind w:left="220" w:leftChars="100" w:right="220" w:rightChars="100" w:firstLine="420" w:firstLineChars="200"/>
              <w:jc w:val="left"/>
              <w:textAlignment w:val="auto"/>
              <w:outlineLvl w:val="9"/>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（四）营运期尽量选用低噪声设备，噪声源采取吸声、隔声等措施降低噪声对环境的影响，确保满足《工业企业厂界环境噪声排放标准》（GB12348-2008）中的2类标准。</w:t>
            </w:r>
          </w:p>
          <w:p>
            <w:pPr>
              <w:keepNext w:val="0"/>
              <w:keepLines w:val="0"/>
              <w:pageBreakBefore w:val="0"/>
              <w:widowControl/>
              <w:kinsoku/>
              <w:wordWrap/>
              <w:overflowPunct/>
              <w:topLinePunct w:val="0"/>
              <w:autoSpaceDE/>
              <w:autoSpaceDN/>
              <w:bidi w:val="0"/>
              <w:adjustRightInd w:val="0"/>
              <w:snapToGrid w:val="0"/>
              <w:spacing w:line="320" w:lineRule="exact"/>
              <w:ind w:left="220" w:leftChars="100" w:right="220" w:rightChars="100" w:firstLine="420" w:firstLineChars="200"/>
              <w:jc w:val="left"/>
              <w:textAlignment w:val="auto"/>
              <w:outlineLvl w:val="9"/>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三、项目建设必须严格执行配套建设的环境保护设施与主体工程同时设计、同时施工、同时投入使用的环境保护“三同时”制度。项目竣工投运前需向我局提交试运行备案，试运行三个月内必须向我局提供环保竣工验收备案。验收合格后，该项目方可正式投入营运。</w:t>
            </w:r>
          </w:p>
          <w:p>
            <w:pPr>
              <w:keepNext w:val="0"/>
              <w:keepLines w:val="0"/>
              <w:pageBreakBefore w:val="0"/>
              <w:widowControl/>
              <w:kinsoku/>
              <w:wordWrap/>
              <w:overflowPunct/>
              <w:topLinePunct w:val="0"/>
              <w:autoSpaceDE/>
              <w:autoSpaceDN/>
              <w:bidi w:val="0"/>
              <w:adjustRightInd w:val="0"/>
              <w:snapToGrid w:val="0"/>
              <w:spacing w:line="320" w:lineRule="exact"/>
              <w:ind w:left="220" w:leftChars="100" w:right="220" w:rightChars="100" w:firstLine="420" w:firstLineChars="200"/>
              <w:jc w:val="left"/>
              <w:textAlignment w:val="auto"/>
              <w:outlineLvl w:val="9"/>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四、该项目环境影响报告表批准后，建设项目的性质、规模、地点或采用的污染措施发生变化的，建设单位应重新向我局报批建设项目环境影响报告表；建设项目环境影响报告表自批准之日起满5年，建设项目方开工建设的，该环境影响报告表应报我局重新审核。</w:t>
            </w:r>
          </w:p>
          <w:p>
            <w:pPr>
              <w:keepNext w:val="0"/>
              <w:keepLines w:val="0"/>
              <w:pageBreakBefore w:val="0"/>
              <w:widowControl/>
              <w:kinsoku/>
              <w:wordWrap/>
              <w:overflowPunct/>
              <w:topLinePunct w:val="0"/>
              <w:autoSpaceDE/>
              <w:autoSpaceDN/>
              <w:bidi w:val="0"/>
              <w:adjustRightInd w:val="0"/>
              <w:snapToGrid w:val="0"/>
              <w:spacing w:line="320" w:lineRule="exact"/>
              <w:ind w:left="220" w:leftChars="100" w:right="220" w:rightChars="100" w:firstLine="420" w:firstLineChars="200"/>
              <w:jc w:val="left"/>
              <w:textAlignment w:val="auto"/>
              <w:outlineLvl w:val="9"/>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五、该项目在经营中如造成污染影响，按《中华人民共和国环境保护法》规定作关停处理。</w:t>
            </w:r>
          </w:p>
          <w:p>
            <w:pPr>
              <w:widowControl w:val="0"/>
              <w:jc w:val="both"/>
              <w:rPr>
                <w:vertAlign w:val="baseline"/>
              </w:rPr>
            </w:pPr>
          </w:p>
        </w:tc>
      </w:tr>
    </w:tbl>
    <w:p>
      <w:pPr>
        <w:spacing w:after="0" w:afterLines="0" w:line="360" w:lineRule="auto"/>
        <w:rPr>
          <w:rFonts w:hint="eastAsia" w:hAnsi="Arial" w:eastAsia="仿宋_GB2312" w:cs="Times New Roman"/>
          <w:b/>
          <w:color w:val="000000"/>
          <w:sz w:val="21"/>
          <w:szCs w:val="21"/>
          <w:lang w:val="en-US" w:eastAsia="zh-CN"/>
        </w:rPr>
      </w:pPr>
    </w:p>
    <w:p>
      <w:pPr>
        <w:spacing w:after="0" w:afterLines="0" w:line="360" w:lineRule="auto"/>
        <w:rPr>
          <w:rFonts w:hint="eastAsia" w:hAnsi="Arial" w:eastAsia="仿宋_GB2312" w:cs="Times New Roman"/>
          <w:b/>
          <w:color w:val="000000"/>
          <w:sz w:val="21"/>
          <w:szCs w:val="21"/>
          <w:lang w:val="en-US" w:eastAsia="zh-CN"/>
        </w:rPr>
      </w:pPr>
      <w:r>
        <w:rPr>
          <w:rFonts w:hint="eastAsia" w:hAnsi="Arial" w:eastAsia="仿宋_GB2312" w:cs="Times New Roman"/>
          <w:b/>
          <w:color w:val="000000"/>
          <w:sz w:val="21"/>
          <w:szCs w:val="21"/>
          <w:lang w:val="en-US" w:eastAsia="zh-CN"/>
        </w:rPr>
        <w:t>表五、验收监测质量保证及质量控制</w:t>
      </w:r>
    </w:p>
    <w:tbl>
      <w:tblPr>
        <w:tblStyle w:val="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91" w:hRule="atLeast"/>
        </w:trPr>
        <w:tc>
          <w:tcPr>
            <w:tcW w:w="8522" w:type="dxa"/>
          </w:tcPr>
          <w:p>
            <w:pPr>
              <w:keepNext w:val="0"/>
              <w:keepLines w:val="0"/>
              <w:pageBreakBefore w:val="0"/>
              <w:widowControl/>
              <w:kinsoku/>
              <w:wordWrap/>
              <w:overflowPunct/>
              <w:topLinePunct w:val="0"/>
              <w:autoSpaceDE/>
              <w:autoSpaceDN/>
              <w:bidi w:val="0"/>
              <w:adjustRightInd w:val="0"/>
              <w:snapToGrid w:val="0"/>
              <w:spacing w:after="100" w:line="360" w:lineRule="auto"/>
              <w:ind w:right="220" w:rightChars="100" w:firstLine="210" w:firstLineChars="100"/>
              <w:jc w:val="left"/>
              <w:textAlignment w:val="auto"/>
              <w:outlineLvl w:val="9"/>
              <w:rPr>
                <w:rFonts w:hint="eastAsia" w:ascii="宋体" w:hAnsi="宋体" w:eastAsia="宋体" w:cs="宋体"/>
                <w:color w:val="000000"/>
                <w:sz w:val="21"/>
                <w:szCs w:val="21"/>
                <w:lang w:val="en-US" w:eastAsia="zh-CN"/>
              </w:rPr>
            </w:pPr>
          </w:p>
          <w:p>
            <w:pPr>
              <w:keepNext w:val="0"/>
              <w:keepLines w:val="0"/>
              <w:pageBreakBefore w:val="0"/>
              <w:widowControl/>
              <w:kinsoku/>
              <w:wordWrap/>
              <w:overflowPunct/>
              <w:topLinePunct w:val="0"/>
              <w:autoSpaceDE/>
              <w:autoSpaceDN/>
              <w:bidi w:val="0"/>
              <w:adjustRightInd w:val="0"/>
              <w:snapToGrid w:val="0"/>
              <w:spacing w:after="100" w:line="360" w:lineRule="auto"/>
              <w:ind w:right="220" w:rightChars="100" w:firstLine="210" w:firstLineChars="100"/>
              <w:jc w:val="left"/>
              <w:textAlignment w:val="auto"/>
              <w:outlineLvl w:val="9"/>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（1）监测过程严格按《环境监测技术规范》中的有关规定进行。</w:t>
            </w:r>
          </w:p>
          <w:p>
            <w:pPr>
              <w:keepNext w:val="0"/>
              <w:keepLines w:val="0"/>
              <w:pageBreakBefore w:val="0"/>
              <w:widowControl/>
              <w:kinsoku/>
              <w:wordWrap/>
              <w:overflowPunct/>
              <w:topLinePunct w:val="0"/>
              <w:autoSpaceDE/>
              <w:autoSpaceDN/>
              <w:bidi w:val="0"/>
              <w:adjustRightInd w:val="0"/>
              <w:snapToGrid w:val="0"/>
              <w:spacing w:after="100" w:line="360" w:lineRule="auto"/>
              <w:ind w:right="220" w:rightChars="100" w:firstLine="210" w:firstLineChars="100"/>
              <w:jc w:val="left"/>
              <w:textAlignment w:val="auto"/>
              <w:outlineLvl w:val="9"/>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（2）验收监测期间，卫生服务站应在正常营运状态，营运规模达到设计规模的75 %以上，污染防治设施正常运行。</w:t>
            </w:r>
          </w:p>
          <w:p>
            <w:pPr>
              <w:keepNext w:val="0"/>
              <w:keepLines w:val="0"/>
              <w:pageBreakBefore w:val="0"/>
              <w:widowControl/>
              <w:kinsoku/>
              <w:wordWrap/>
              <w:overflowPunct/>
              <w:topLinePunct w:val="0"/>
              <w:autoSpaceDE/>
              <w:autoSpaceDN/>
              <w:bidi w:val="0"/>
              <w:adjustRightInd w:val="0"/>
              <w:snapToGrid w:val="0"/>
              <w:spacing w:after="100" w:line="360" w:lineRule="auto"/>
              <w:ind w:right="220" w:rightChars="100" w:firstLine="210" w:firstLineChars="100"/>
              <w:jc w:val="left"/>
              <w:textAlignment w:val="auto"/>
              <w:outlineLvl w:val="9"/>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（3）监测人员持证上岗，监测仪器经计量部门检定并在有效期内。</w:t>
            </w:r>
          </w:p>
          <w:p>
            <w:pPr>
              <w:keepNext w:val="0"/>
              <w:keepLines w:val="0"/>
              <w:pageBreakBefore w:val="0"/>
              <w:widowControl/>
              <w:kinsoku/>
              <w:wordWrap/>
              <w:overflowPunct/>
              <w:topLinePunct w:val="0"/>
              <w:autoSpaceDE/>
              <w:autoSpaceDN/>
              <w:bidi w:val="0"/>
              <w:adjustRightInd w:val="0"/>
              <w:snapToGrid w:val="0"/>
              <w:spacing w:after="100" w:line="360" w:lineRule="auto"/>
              <w:ind w:right="220" w:rightChars="100" w:firstLine="210" w:firstLineChars="100"/>
              <w:jc w:val="left"/>
              <w:textAlignment w:val="auto"/>
              <w:outlineLvl w:val="9"/>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水样的采集、运输、保存、实验室分析和数据计算的全过程能够做到：采样过程中应采集不少于10%的平行样；实验室分析过程一般应加不少于10%的平行样；对可以得到标准样品或质量控制样品的项目，应在分析的同时做10%的质控样品分析，对无标准样品或质量控制样品的项目，且可进行加标回收测试的，应在分析的同时做10%加标回收样品分析，或采取其他质控措施。</w:t>
            </w:r>
          </w:p>
          <w:p>
            <w:pPr>
              <w:keepNext w:val="0"/>
              <w:keepLines w:val="0"/>
              <w:pageBreakBefore w:val="0"/>
              <w:widowControl/>
              <w:kinsoku/>
              <w:wordWrap/>
              <w:overflowPunct/>
              <w:topLinePunct w:val="0"/>
              <w:autoSpaceDE/>
              <w:autoSpaceDN/>
              <w:bidi w:val="0"/>
              <w:adjustRightInd w:val="0"/>
              <w:snapToGrid w:val="0"/>
              <w:spacing w:after="100" w:line="360" w:lineRule="auto"/>
              <w:ind w:right="220" w:rightChars="100" w:firstLine="210" w:firstLineChars="100"/>
              <w:jc w:val="left"/>
              <w:textAlignment w:val="auto"/>
              <w:outlineLvl w:val="9"/>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（5）废气采样前应对采样仪器流量计、流速计等进行校准。</w:t>
            </w:r>
          </w:p>
          <w:p>
            <w:pPr>
              <w:keepNext w:val="0"/>
              <w:keepLines w:val="0"/>
              <w:pageBreakBefore w:val="0"/>
              <w:widowControl/>
              <w:kinsoku/>
              <w:wordWrap/>
              <w:overflowPunct/>
              <w:topLinePunct w:val="0"/>
              <w:autoSpaceDE/>
              <w:autoSpaceDN/>
              <w:bidi w:val="0"/>
              <w:adjustRightInd w:val="0"/>
              <w:snapToGrid w:val="0"/>
              <w:spacing w:after="100" w:line="360" w:lineRule="auto"/>
              <w:ind w:right="220" w:rightChars="100" w:firstLine="210" w:firstLineChars="100"/>
              <w:jc w:val="left"/>
              <w:textAlignment w:val="auto"/>
              <w:outlineLvl w:val="9"/>
              <w:rPr>
                <w:rFonts w:hint="eastAsia"/>
                <w:vertAlign w:val="baseline"/>
                <w:lang w:val="en-US" w:eastAsia="zh-CN"/>
              </w:rPr>
            </w:pPr>
            <w:r>
              <w:rPr>
                <w:rFonts w:hint="eastAsia" w:ascii="宋体" w:hAnsi="宋体" w:eastAsia="宋体" w:cs="宋体"/>
                <w:color w:val="000000"/>
                <w:sz w:val="21"/>
                <w:szCs w:val="21"/>
                <w:lang w:val="en-US" w:eastAsia="zh-CN"/>
              </w:rPr>
              <w:t>（6）噪声监测时使用经计量部门检定，并在有效使用期内的声级计；声级计在测试前后用标准发声源进行校准，测量前后仪器的灵敏度相差不大于0.5dB，若大于0.5dB则测试数据无效。</w:t>
            </w:r>
            <w:r>
              <w:rPr>
                <w:rFonts w:hint="eastAsia" w:ascii="宋体" w:hAnsi="宋体" w:eastAsia="宋体" w:cs="宋体"/>
                <w:color w:val="000000"/>
                <w:sz w:val="21"/>
                <w:szCs w:val="21"/>
                <w:lang w:val="en-US" w:eastAsia="zh-CN"/>
              </w:rPr>
              <w:br w:type="textWrapping"/>
            </w:r>
            <w:r>
              <w:rPr>
                <w:rFonts w:hint="eastAsia" w:ascii="宋体" w:hAnsi="宋体" w:eastAsia="宋体" w:cs="宋体"/>
                <w:color w:val="000000"/>
                <w:sz w:val="21"/>
                <w:szCs w:val="21"/>
                <w:lang w:val="en-US" w:eastAsia="zh-CN"/>
              </w:rPr>
              <w:t xml:space="preserve"> （7）监测报告严格实行三级审核制度。</w:t>
            </w:r>
          </w:p>
        </w:tc>
      </w:tr>
    </w:tbl>
    <w:p>
      <w:pPr>
        <w:spacing w:after="0" w:afterLines="0" w:line="360" w:lineRule="auto"/>
        <w:rPr>
          <w:rFonts w:hint="eastAsia" w:hAnsi="Arial" w:eastAsia="仿宋_GB2312" w:cs="Times New Roman"/>
          <w:b/>
          <w:color w:val="000000"/>
          <w:sz w:val="21"/>
          <w:szCs w:val="21"/>
          <w:lang w:val="en-US" w:eastAsia="zh-CN"/>
        </w:rPr>
      </w:pPr>
      <w:r>
        <w:rPr>
          <w:rFonts w:hint="eastAsia" w:hAnsi="Arial" w:eastAsia="仿宋_GB2312" w:cs="Times New Roman"/>
          <w:b/>
          <w:color w:val="000000"/>
          <w:sz w:val="21"/>
          <w:szCs w:val="21"/>
          <w:lang w:val="en-US" w:eastAsia="zh-CN"/>
        </w:rPr>
        <w:t>表六、验收监测内容</w:t>
      </w:r>
    </w:p>
    <w:tbl>
      <w:tblPr>
        <w:tblStyle w:val="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09" w:hRule="atLeast"/>
        </w:trPr>
        <w:tc>
          <w:tcPr>
            <w:tcW w:w="8522" w:type="dxa"/>
          </w:tcPr>
          <w:p>
            <w:pPr>
              <w:keepNext w:val="0"/>
              <w:keepLines w:val="0"/>
              <w:pageBreakBefore w:val="0"/>
              <w:widowControl/>
              <w:kinsoku/>
              <w:wordWrap/>
              <w:overflowPunct/>
              <w:topLinePunct w:val="0"/>
              <w:autoSpaceDE/>
              <w:autoSpaceDN/>
              <w:bidi w:val="0"/>
              <w:adjustRightInd w:val="0"/>
              <w:snapToGrid w:val="0"/>
              <w:spacing w:after="100" w:line="360" w:lineRule="auto"/>
              <w:ind w:right="220" w:rightChars="100" w:firstLine="210" w:firstLineChars="100"/>
              <w:jc w:val="left"/>
              <w:textAlignment w:val="auto"/>
              <w:outlineLvl w:val="9"/>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1、废水：</w:t>
            </w:r>
          </w:p>
          <w:p>
            <w:pPr>
              <w:keepNext w:val="0"/>
              <w:keepLines w:val="0"/>
              <w:pageBreakBefore w:val="0"/>
              <w:widowControl/>
              <w:kinsoku/>
              <w:wordWrap/>
              <w:overflowPunct/>
              <w:topLinePunct w:val="0"/>
              <w:autoSpaceDE/>
              <w:autoSpaceDN/>
              <w:bidi w:val="0"/>
              <w:adjustRightInd w:val="0"/>
              <w:snapToGrid w:val="0"/>
              <w:spacing w:after="100" w:line="360" w:lineRule="auto"/>
              <w:ind w:right="220" w:rightChars="100" w:firstLine="210" w:firstLineChars="100"/>
              <w:jc w:val="left"/>
              <w:textAlignment w:val="auto"/>
              <w:outlineLvl w:val="9"/>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（1）废水监测内容</w:t>
            </w:r>
          </w:p>
          <w:tbl>
            <w:tblPr>
              <w:tblStyle w:val="9"/>
              <w:tblW w:w="75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6"/>
              <w:gridCol w:w="5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7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220" w:rightChars="100" w:firstLine="210" w:firstLineChars="10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样品类别</w:t>
                  </w:r>
                </w:p>
              </w:tc>
              <w:tc>
                <w:tcPr>
                  <w:tcW w:w="596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220" w:rightChars="100" w:firstLine="210" w:firstLineChars="10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7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220" w:rightChars="100" w:firstLine="210" w:firstLineChars="10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监测项目</w:t>
                  </w:r>
                </w:p>
              </w:tc>
              <w:tc>
                <w:tcPr>
                  <w:tcW w:w="596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220" w:rightChars="100" w:firstLine="210" w:firstLineChars="10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水温、PH、悬浮物、阴离子表面活性剂、色度、总余氯、化学需氧量、氨氮、五日生化需氧量、动植物油、石油类、挥发酚、粪大肠菌群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7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220" w:rightChars="100" w:firstLine="210" w:firstLineChars="10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样品状态</w:t>
                  </w:r>
                </w:p>
              </w:tc>
              <w:tc>
                <w:tcPr>
                  <w:tcW w:w="596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220" w:rightChars="100" w:firstLine="210" w:firstLineChars="10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液体，保存完好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7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220" w:rightChars="100" w:firstLine="210" w:firstLineChars="10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监测频次</w:t>
                  </w:r>
                </w:p>
              </w:tc>
              <w:tc>
                <w:tcPr>
                  <w:tcW w:w="596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220" w:rightChars="100" w:firstLine="210" w:firstLineChars="10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监测2天，每天监测四次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7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220" w:rightChars="100" w:firstLine="210" w:firstLineChars="10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样品数量</w:t>
                  </w:r>
                </w:p>
              </w:tc>
              <w:tc>
                <w:tcPr>
                  <w:tcW w:w="596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220" w:rightChars="100" w:firstLine="210" w:firstLineChars="10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16个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7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220" w:rightChars="100" w:firstLine="210" w:firstLineChars="10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监测点位</w:t>
                  </w:r>
                </w:p>
              </w:tc>
              <w:tc>
                <w:tcPr>
                  <w:tcW w:w="596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220" w:rightChars="100" w:firstLine="210" w:firstLineChars="10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污水处理设施进口、出口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7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220" w:rightChars="100" w:firstLine="210" w:firstLineChars="10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采样日期</w:t>
                  </w:r>
                </w:p>
              </w:tc>
              <w:tc>
                <w:tcPr>
                  <w:tcW w:w="596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220" w:rightChars="100" w:firstLine="210" w:firstLineChars="10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2018年7月11日~12日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7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220" w:rightChars="100" w:firstLine="210" w:firstLineChars="10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监测日期</w:t>
                  </w:r>
                </w:p>
              </w:tc>
              <w:tc>
                <w:tcPr>
                  <w:tcW w:w="596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220" w:rightChars="100" w:firstLine="210" w:firstLineChars="10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2018年7月11日~12日</w:t>
                  </w:r>
                </w:p>
              </w:tc>
            </w:tr>
          </w:tbl>
          <w:p>
            <w:pPr>
              <w:widowControl w:val="0"/>
              <w:numPr>
                <w:ilvl w:val="0"/>
                <w:numId w:val="0"/>
              </w:numPr>
              <w:jc w:val="both"/>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 xml:space="preserve"> </w:t>
            </w:r>
          </w:p>
          <w:p>
            <w:pPr>
              <w:widowControl w:val="0"/>
              <w:numPr>
                <w:ilvl w:val="0"/>
                <w:numId w:val="3"/>
              </w:numPr>
              <w:ind w:firstLine="210" w:firstLineChars="100"/>
              <w:jc w:val="both"/>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废水检测项目及分析方法（详见附件1、监测报告）</w:t>
            </w:r>
          </w:p>
          <w:tbl>
            <w:tblPr>
              <w:tblStyle w:val="9"/>
              <w:tblW w:w="8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1"/>
              <w:gridCol w:w="4250"/>
              <w:gridCol w:w="1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2" w:hRule="atLeast"/>
              </w:trPr>
              <w:tc>
                <w:tcPr>
                  <w:tcW w:w="261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监测项目</w:t>
                  </w:r>
                </w:p>
              </w:tc>
              <w:tc>
                <w:tcPr>
                  <w:tcW w:w="425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分析方法及名称</w:t>
                  </w:r>
                </w:p>
              </w:tc>
              <w:tc>
                <w:tcPr>
                  <w:tcW w:w="1445"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标准检出限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trPr>
              <w:tc>
                <w:tcPr>
                  <w:tcW w:w="261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水温（℃）</w:t>
                  </w:r>
                </w:p>
              </w:tc>
              <w:tc>
                <w:tcPr>
                  <w:tcW w:w="425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《水质 水温的测定 温度计法》</w:t>
                  </w:r>
                </w:p>
              </w:tc>
              <w:tc>
                <w:tcPr>
                  <w:tcW w:w="1445"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PH（无量纲）</w:t>
                  </w:r>
                </w:p>
              </w:tc>
              <w:tc>
                <w:tcPr>
                  <w:tcW w:w="425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b w:val="0"/>
                      <w:i w:val="0"/>
                      <w:caps w:val="0"/>
                      <w:color w:val="000000"/>
                      <w:spacing w:val="0"/>
                      <w:sz w:val="21"/>
                      <w:szCs w:val="21"/>
                      <w:highlight w:val="none"/>
                      <w:shd w:val="clear"/>
                      <w:lang w:eastAsia="zh-CN"/>
                    </w:rPr>
                    <w:t>《</w:t>
                  </w:r>
                  <w:r>
                    <w:rPr>
                      <w:rFonts w:hint="default" w:ascii="Times New Roman" w:hAnsi="Times New Roman" w:eastAsia="宋体" w:cs="Times New Roman"/>
                      <w:b w:val="0"/>
                      <w:i w:val="0"/>
                      <w:caps w:val="0"/>
                      <w:color w:val="000000"/>
                      <w:spacing w:val="0"/>
                      <w:sz w:val="21"/>
                      <w:szCs w:val="21"/>
                      <w:highlight w:val="none"/>
                      <w:shd w:val="clear"/>
                    </w:rPr>
                    <w:t>水质 pH值的测定 玻璃电极法</w:t>
                  </w:r>
                  <w:r>
                    <w:rPr>
                      <w:rFonts w:hint="default" w:ascii="Times New Roman" w:hAnsi="Times New Roman" w:eastAsia="宋体" w:cs="Times New Roman"/>
                      <w:b w:val="0"/>
                      <w:i w:val="0"/>
                      <w:caps w:val="0"/>
                      <w:color w:val="000000"/>
                      <w:spacing w:val="0"/>
                      <w:sz w:val="21"/>
                      <w:szCs w:val="21"/>
                      <w:highlight w:val="none"/>
                      <w:shd w:val="clear"/>
                      <w:lang w:eastAsia="zh-CN"/>
                    </w:rPr>
                    <w:t>》</w:t>
                  </w:r>
                </w:p>
              </w:tc>
              <w:tc>
                <w:tcPr>
                  <w:tcW w:w="1445"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lang w:val="en-US" w:eastAsia="zh-CN"/>
                    </w:rPr>
                    <w:t>悬浮物（mg/L）</w:t>
                  </w:r>
                </w:p>
              </w:tc>
              <w:tc>
                <w:tcPr>
                  <w:tcW w:w="425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b w:val="0"/>
                      <w:i w:val="0"/>
                      <w:caps w:val="0"/>
                      <w:color w:val="000000"/>
                      <w:spacing w:val="0"/>
                      <w:sz w:val="21"/>
                      <w:szCs w:val="21"/>
                      <w:highlight w:val="none"/>
                      <w:shd w:val="clear"/>
                      <w:lang w:eastAsia="zh-CN"/>
                    </w:rPr>
                    <w:t>《</w:t>
                  </w:r>
                  <w:r>
                    <w:rPr>
                      <w:rFonts w:hint="default" w:ascii="Times New Roman" w:hAnsi="Times New Roman" w:eastAsia="宋体" w:cs="Times New Roman"/>
                      <w:b w:val="0"/>
                      <w:i w:val="0"/>
                      <w:caps w:val="0"/>
                      <w:color w:val="000000"/>
                      <w:spacing w:val="0"/>
                      <w:sz w:val="21"/>
                      <w:szCs w:val="21"/>
                      <w:highlight w:val="none"/>
                      <w:shd w:val="clear"/>
                    </w:rPr>
                    <w:t>水质 悬浮物的测定 重量法</w:t>
                  </w:r>
                  <w:r>
                    <w:rPr>
                      <w:rFonts w:hint="default" w:ascii="Times New Roman" w:hAnsi="Times New Roman" w:eastAsia="宋体" w:cs="Times New Roman"/>
                      <w:b w:val="0"/>
                      <w:i w:val="0"/>
                      <w:caps w:val="0"/>
                      <w:color w:val="000000"/>
                      <w:spacing w:val="0"/>
                      <w:sz w:val="21"/>
                      <w:szCs w:val="21"/>
                      <w:highlight w:val="none"/>
                      <w:shd w:val="clear"/>
                      <w:lang w:eastAsia="zh-CN"/>
                    </w:rPr>
                    <w:t>》</w:t>
                  </w:r>
                </w:p>
              </w:tc>
              <w:tc>
                <w:tcPr>
                  <w:tcW w:w="1445"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lang w:val="en-US" w:eastAsia="zh-CN"/>
                    </w:rPr>
                    <w:t>阴离子表面活性剂（mg/L）</w:t>
                  </w:r>
                </w:p>
              </w:tc>
              <w:tc>
                <w:tcPr>
                  <w:tcW w:w="425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lang w:val="en-US" w:eastAsia="zh-CN"/>
                    </w:rPr>
                    <w:t>《水质 阴离子表面活性剂的测定 亚甲蓝分光光度法》</w:t>
                  </w:r>
                </w:p>
              </w:tc>
              <w:tc>
                <w:tcPr>
                  <w:tcW w:w="1445"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lang w:val="en-US" w:eastAsia="zh-CN"/>
                    </w:rPr>
                    <w:t>色度（度）</w:t>
                  </w:r>
                </w:p>
              </w:tc>
              <w:tc>
                <w:tcPr>
                  <w:tcW w:w="425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《水质 色度的测定 稀释倍数法》</w:t>
                  </w:r>
                </w:p>
              </w:tc>
              <w:tc>
                <w:tcPr>
                  <w:tcW w:w="1445"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lang w:val="en-US" w:eastAsia="zh-CN"/>
                    </w:rPr>
                    <w:t>总余氯（mg/L）</w:t>
                  </w:r>
                </w:p>
              </w:tc>
              <w:tc>
                <w:tcPr>
                  <w:tcW w:w="425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b w:val="0"/>
                      <w:i w:val="0"/>
                      <w:caps w:val="0"/>
                      <w:color w:val="000000"/>
                      <w:spacing w:val="0"/>
                      <w:sz w:val="21"/>
                      <w:szCs w:val="21"/>
                      <w:highlight w:val="none"/>
                      <w:shd w:val="clear"/>
                      <w:lang w:eastAsia="zh-CN"/>
                    </w:rPr>
                    <w:t>《</w:t>
                  </w:r>
                  <w:r>
                    <w:rPr>
                      <w:rFonts w:hint="default" w:ascii="Times New Roman" w:hAnsi="Times New Roman" w:eastAsia="宋体" w:cs="Times New Roman"/>
                      <w:b w:val="0"/>
                      <w:i w:val="0"/>
                      <w:caps w:val="0"/>
                      <w:color w:val="000000"/>
                      <w:spacing w:val="0"/>
                      <w:sz w:val="21"/>
                      <w:szCs w:val="21"/>
                      <w:highlight w:val="none"/>
                      <w:shd w:val="clear"/>
                    </w:rPr>
                    <w:t>水质 游离氯和总氯的测定 N,N-二乙基-1,4-苯二胺现场测定法</w:t>
                  </w:r>
                  <w:r>
                    <w:rPr>
                      <w:rFonts w:hint="default" w:ascii="Times New Roman" w:hAnsi="Times New Roman" w:eastAsia="宋体" w:cs="Times New Roman"/>
                      <w:b w:val="0"/>
                      <w:i w:val="0"/>
                      <w:caps w:val="0"/>
                      <w:color w:val="000000"/>
                      <w:spacing w:val="0"/>
                      <w:sz w:val="21"/>
                      <w:szCs w:val="21"/>
                      <w:highlight w:val="none"/>
                      <w:shd w:val="clear"/>
                      <w:lang w:eastAsia="zh-CN"/>
                    </w:rPr>
                    <w:t>》</w:t>
                  </w:r>
                </w:p>
              </w:tc>
              <w:tc>
                <w:tcPr>
                  <w:tcW w:w="1445"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trPr>
              <w:tc>
                <w:tcPr>
                  <w:tcW w:w="261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lang w:val="en-US" w:eastAsia="zh-CN"/>
                    </w:rPr>
                    <w:t>化学需氧量（mg/L）</w:t>
                  </w:r>
                </w:p>
              </w:tc>
              <w:tc>
                <w:tcPr>
                  <w:tcW w:w="4250"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b w:val="0"/>
                      <w:i w:val="0"/>
                      <w:caps w:val="0"/>
                      <w:color w:val="000000"/>
                      <w:spacing w:val="0"/>
                      <w:sz w:val="21"/>
                      <w:szCs w:val="21"/>
                      <w:highlight w:val="none"/>
                      <w:shd w:val="clear"/>
                      <w:lang w:eastAsia="zh-CN"/>
                    </w:rPr>
                    <w:t>《</w:t>
                  </w:r>
                  <w:r>
                    <w:rPr>
                      <w:rFonts w:hint="default" w:ascii="Times New Roman" w:hAnsi="Times New Roman" w:eastAsia="宋体" w:cs="Times New Roman"/>
                      <w:b w:val="0"/>
                      <w:i w:val="0"/>
                      <w:caps w:val="0"/>
                      <w:color w:val="000000"/>
                      <w:spacing w:val="0"/>
                      <w:sz w:val="21"/>
                      <w:szCs w:val="21"/>
                      <w:highlight w:val="none"/>
                      <w:shd w:val="clear"/>
                    </w:rPr>
                    <w:t>水质 化学需氧量的测定 重铬酸盐法</w:t>
                  </w:r>
                  <w:r>
                    <w:rPr>
                      <w:rFonts w:hint="default" w:ascii="Times New Roman" w:hAnsi="Times New Roman" w:eastAsia="宋体" w:cs="Times New Roman"/>
                      <w:b w:val="0"/>
                      <w:i w:val="0"/>
                      <w:caps w:val="0"/>
                      <w:color w:val="000000"/>
                      <w:spacing w:val="0"/>
                      <w:sz w:val="21"/>
                      <w:szCs w:val="21"/>
                      <w:highlight w:val="none"/>
                      <w:shd w:val="clear"/>
                      <w:lang w:eastAsia="zh-CN"/>
                    </w:rPr>
                    <w:t>》</w:t>
                  </w:r>
                </w:p>
              </w:tc>
              <w:tc>
                <w:tcPr>
                  <w:tcW w:w="1445"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trPr>
              <w:tc>
                <w:tcPr>
                  <w:tcW w:w="261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lang w:val="en-US" w:eastAsia="zh-CN"/>
                    </w:rPr>
                    <w:t>氨氮（mg/L）</w:t>
                  </w:r>
                </w:p>
              </w:tc>
              <w:tc>
                <w:tcPr>
                  <w:tcW w:w="4250"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b w:val="0"/>
                      <w:bCs w:val="0"/>
                      <w:i w:val="0"/>
                      <w:caps w:val="0"/>
                      <w:color w:val="000000"/>
                      <w:spacing w:val="0"/>
                      <w:sz w:val="21"/>
                      <w:szCs w:val="21"/>
                      <w:highlight w:val="none"/>
                      <w:shd w:val="clear"/>
                      <w:lang w:eastAsia="zh-CN"/>
                    </w:rPr>
                    <w:t>《</w:t>
                  </w:r>
                  <w:r>
                    <w:rPr>
                      <w:rFonts w:hint="default" w:ascii="Times New Roman" w:hAnsi="Times New Roman" w:eastAsia="宋体" w:cs="Times New Roman"/>
                      <w:b w:val="0"/>
                      <w:bCs w:val="0"/>
                      <w:i w:val="0"/>
                      <w:caps w:val="0"/>
                      <w:color w:val="000000"/>
                      <w:spacing w:val="0"/>
                      <w:sz w:val="21"/>
                      <w:szCs w:val="21"/>
                      <w:highlight w:val="none"/>
                      <w:shd w:val="clear"/>
                    </w:rPr>
                    <w:t>水质 氨氮的测定 纳氏试剂分光光度法</w:t>
                  </w:r>
                  <w:r>
                    <w:rPr>
                      <w:rFonts w:hint="default" w:ascii="Times New Roman" w:hAnsi="Times New Roman" w:eastAsia="宋体" w:cs="Times New Roman"/>
                      <w:b w:val="0"/>
                      <w:bCs w:val="0"/>
                      <w:i w:val="0"/>
                      <w:caps w:val="0"/>
                      <w:color w:val="000000"/>
                      <w:spacing w:val="0"/>
                      <w:sz w:val="21"/>
                      <w:szCs w:val="21"/>
                      <w:highlight w:val="none"/>
                      <w:shd w:val="clear"/>
                      <w:lang w:eastAsia="zh-CN"/>
                    </w:rPr>
                    <w:t>》</w:t>
                  </w:r>
                </w:p>
              </w:tc>
              <w:tc>
                <w:tcPr>
                  <w:tcW w:w="1445"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lang w:val="en-US" w:eastAsia="zh-CN"/>
                    </w:rPr>
                    <w:t>五日生化需氧量（mg/L）</w:t>
                  </w:r>
                </w:p>
              </w:tc>
              <w:tc>
                <w:tcPr>
                  <w:tcW w:w="4250"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b w:val="0"/>
                      <w:i w:val="0"/>
                      <w:caps w:val="0"/>
                      <w:color w:val="000000"/>
                      <w:spacing w:val="0"/>
                      <w:sz w:val="21"/>
                      <w:szCs w:val="21"/>
                      <w:highlight w:val="none"/>
                      <w:shd w:val="clear"/>
                      <w:lang w:eastAsia="zh-CN"/>
                    </w:rPr>
                    <w:t>《</w:t>
                  </w:r>
                  <w:r>
                    <w:rPr>
                      <w:rFonts w:hint="default" w:ascii="Times New Roman" w:hAnsi="Times New Roman" w:eastAsia="宋体" w:cs="Times New Roman"/>
                      <w:b w:val="0"/>
                      <w:i w:val="0"/>
                      <w:caps w:val="0"/>
                      <w:color w:val="000000"/>
                      <w:spacing w:val="0"/>
                      <w:sz w:val="21"/>
                      <w:szCs w:val="21"/>
                      <w:highlight w:val="none"/>
                      <w:shd w:val="clear"/>
                    </w:rPr>
                    <w:t>水质 五日生化需氧量（BOD</w:t>
                  </w:r>
                  <w:r>
                    <w:rPr>
                      <w:rFonts w:hint="default" w:ascii="Times New Roman" w:hAnsi="Times New Roman" w:eastAsia="宋体" w:cs="Times New Roman"/>
                      <w:b w:val="0"/>
                      <w:i w:val="0"/>
                      <w:caps w:val="0"/>
                      <w:color w:val="000000"/>
                      <w:spacing w:val="0"/>
                      <w:sz w:val="21"/>
                      <w:szCs w:val="21"/>
                      <w:highlight w:val="none"/>
                      <w:shd w:val="clear"/>
                      <w:vertAlign w:val="subscript"/>
                    </w:rPr>
                    <w:t>5</w:t>
                  </w:r>
                  <w:r>
                    <w:rPr>
                      <w:rFonts w:hint="default" w:ascii="Times New Roman" w:hAnsi="Times New Roman" w:eastAsia="宋体" w:cs="Times New Roman"/>
                      <w:b w:val="0"/>
                      <w:i w:val="0"/>
                      <w:caps w:val="0"/>
                      <w:color w:val="000000"/>
                      <w:spacing w:val="0"/>
                      <w:sz w:val="21"/>
                      <w:szCs w:val="21"/>
                      <w:highlight w:val="none"/>
                      <w:shd w:val="clear"/>
                    </w:rPr>
                    <w:t>）的测定 稀释与接种法</w:t>
                  </w:r>
                  <w:r>
                    <w:rPr>
                      <w:rFonts w:hint="default" w:ascii="Times New Roman" w:hAnsi="Times New Roman" w:eastAsia="宋体" w:cs="Times New Roman"/>
                      <w:b w:val="0"/>
                      <w:i w:val="0"/>
                      <w:caps w:val="0"/>
                      <w:color w:val="000000"/>
                      <w:spacing w:val="0"/>
                      <w:sz w:val="21"/>
                      <w:szCs w:val="21"/>
                      <w:highlight w:val="none"/>
                      <w:shd w:val="clear"/>
                      <w:lang w:eastAsia="zh-CN"/>
                    </w:rPr>
                    <w:t>》</w:t>
                  </w:r>
                </w:p>
              </w:tc>
              <w:tc>
                <w:tcPr>
                  <w:tcW w:w="1445"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trPr>
              <w:tc>
                <w:tcPr>
                  <w:tcW w:w="261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lang w:val="en-US" w:eastAsia="zh-CN"/>
                    </w:rPr>
                    <w:t>动植物油（mg/L）</w:t>
                  </w:r>
                </w:p>
              </w:tc>
              <w:tc>
                <w:tcPr>
                  <w:tcW w:w="4250" w:type="dxa"/>
                  <w:vMerge w:val="restart"/>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b w:val="0"/>
                      <w:i w:val="0"/>
                      <w:caps w:val="0"/>
                      <w:color w:val="000000"/>
                      <w:spacing w:val="0"/>
                      <w:sz w:val="21"/>
                      <w:szCs w:val="21"/>
                      <w:highlight w:val="none"/>
                      <w:shd w:val="clear"/>
                      <w:lang w:eastAsia="zh-CN"/>
                    </w:rPr>
                    <w:t>《</w:t>
                  </w:r>
                  <w:r>
                    <w:rPr>
                      <w:rFonts w:hint="default" w:ascii="Times New Roman" w:hAnsi="Times New Roman" w:eastAsia="宋体" w:cs="Times New Roman"/>
                      <w:b w:val="0"/>
                      <w:i w:val="0"/>
                      <w:caps w:val="0"/>
                      <w:color w:val="000000"/>
                      <w:spacing w:val="0"/>
                      <w:sz w:val="21"/>
                      <w:szCs w:val="21"/>
                      <w:highlight w:val="none"/>
                      <w:shd w:val="clear"/>
                    </w:rPr>
                    <w:t>水质 石油类和动植物油类的测定 红外分光光度</w:t>
                  </w:r>
                  <w:r>
                    <w:rPr>
                      <w:rFonts w:hint="default" w:ascii="Times New Roman" w:hAnsi="Times New Roman" w:eastAsia="宋体" w:cs="Times New Roman"/>
                      <w:b w:val="0"/>
                      <w:i w:val="0"/>
                      <w:caps w:val="0"/>
                      <w:color w:val="000000"/>
                      <w:spacing w:val="0"/>
                      <w:sz w:val="21"/>
                      <w:szCs w:val="21"/>
                      <w:highlight w:val="none"/>
                      <w:shd w:val="clear"/>
                      <w:lang w:eastAsia="zh-CN"/>
                    </w:rPr>
                    <w:t>法》</w:t>
                  </w:r>
                </w:p>
              </w:tc>
              <w:tc>
                <w:tcPr>
                  <w:tcW w:w="1445"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trPr>
              <w:tc>
                <w:tcPr>
                  <w:tcW w:w="261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石油类（mg/L）</w:t>
                  </w:r>
                </w:p>
              </w:tc>
              <w:tc>
                <w:tcPr>
                  <w:tcW w:w="4250" w:type="dxa"/>
                  <w:vMerge w:val="continue"/>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p>
              </w:tc>
              <w:tc>
                <w:tcPr>
                  <w:tcW w:w="144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挥发酚（mg/L）</w:t>
                  </w:r>
                </w:p>
              </w:tc>
              <w:tc>
                <w:tcPr>
                  <w:tcW w:w="4250"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《水质 挥发酚的测定 4-氨基安替比林分光光度法》</w:t>
                  </w:r>
                </w:p>
              </w:tc>
              <w:tc>
                <w:tcPr>
                  <w:tcW w:w="1445"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0.0003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粪大肠菌群（个/L）</w:t>
                  </w:r>
                </w:p>
              </w:tc>
              <w:tc>
                <w:tcPr>
                  <w:tcW w:w="4250"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b w:val="0"/>
                      <w:i w:val="0"/>
                      <w:caps w:val="0"/>
                      <w:color w:val="000000"/>
                      <w:spacing w:val="0"/>
                      <w:sz w:val="21"/>
                      <w:szCs w:val="21"/>
                      <w:highlight w:val="none"/>
                      <w:shd w:val="clear"/>
                      <w:lang w:eastAsia="zh-CN"/>
                    </w:rPr>
                    <w:t>《水</w:t>
                  </w:r>
                  <w:r>
                    <w:rPr>
                      <w:rFonts w:hint="default" w:ascii="Times New Roman" w:hAnsi="Times New Roman" w:eastAsia="宋体" w:cs="Times New Roman"/>
                      <w:b w:val="0"/>
                      <w:i w:val="0"/>
                      <w:caps w:val="0"/>
                      <w:color w:val="000000"/>
                      <w:spacing w:val="0"/>
                      <w:sz w:val="21"/>
                      <w:szCs w:val="21"/>
                      <w:highlight w:val="none"/>
                      <w:shd w:val="clear"/>
                    </w:rPr>
                    <w:t>质 粪大肠菌群的测定 多管发酵法和滤膜法</w:t>
                  </w:r>
                  <w:r>
                    <w:rPr>
                      <w:rFonts w:hint="default" w:ascii="Times New Roman" w:hAnsi="Times New Roman" w:eastAsia="宋体" w:cs="Times New Roman"/>
                      <w:b w:val="0"/>
                      <w:i w:val="0"/>
                      <w:caps w:val="0"/>
                      <w:color w:val="000000"/>
                      <w:spacing w:val="0"/>
                      <w:sz w:val="21"/>
                      <w:szCs w:val="21"/>
                      <w:highlight w:val="none"/>
                      <w:shd w:val="clear"/>
                      <w:lang w:eastAsia="zh-CN"/>
                    </w:rPr>
                    <w:t>》</w:t>
                  </w:r>
                </w:p>
              </w:tc>
              <w:tc>
                <w:tcPr>
                  <w:tcW w:w="1445"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w:t>
                  </w:r>
                </w:p>
              </w:tc>
            </w:tr>
          </w:tbl>
          <w:p>
            <w:pPr>
              <w:keepNext w:val="0"/>
              <w:keepLines w:val="0"/>
              <w:pageBreakBefore w:val="0"/>
              <w:widowControl/>
              <w:numPr>
                <w:ilvl w:val="0"/>
                <w:numId w:val="0"/>
              </w:numPr>
              <w:kinsoku/>
              <w:wordWrap/>
              <w:overflowPunct/>
              <w:topLinePunct w:val="0"/>
              <w:autoSpaceDE/>
              <w:autoSpaceDN/>
              <w:bidi w:val="0"/>
              <w:adjustRightInd w:val="0"/>
              <w:snapToGrid w:val="0"/>
              <w:spacing w:after="100" w:line="360" w:lineRule="auto"/>
              <w:ind w:leftChars="0" w:right="220" w:rightChars="100"/>
              <w:jc w:val="left"/>
              <w:textAlignment w:val="auto"/>
              <w:outlineLvl w:val="9"/>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2、噪声</w:t>
            </w:r>
          </w:p>
          <w:p>
            <w:pPr>
              <w:keepNext w:val="0"/>
              <w:keepLines w:val="0"/>
              <w:pageBreakBefore w:val="0"/>
              <w:widowControl/>
              <w:numPr>
                <w:ilvl w:val="0"/>
                <w:numId w:val="0"/>
              </w:numPr>
              <w:kinsoku/>
              <w:wordWrap/>
              <w:overflowPunct/>
              <w:topLinePunct w:val="0"/>
              <w:autoSpaceDE/>
              <w:autoSpaceDN/>
              <w:bidi w:val="0"/>
              <w:adjustRightInd w:val="0"/>
              <w:snapToGrid w:val="0"/>
              <w:spacing w:after="100" w:line="360" w:lineRule="auto"/>
              <w:ind w:leftChars="0" w:right="220" w:rightChars="100"/>
              <w:jc w:val="left"/>
              <w:textAlignment w:val="auto"/>
              <w:outlineLvl w:val="9"/>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（1）噪声监测内容</w:t>
            </w:r>
          </w:p>
          <w:tbl>
            <w:tblPr>
              <w:tblStyle w:val="9"/>
              <w:tblW w:w="75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6"/>
              <w:gridCol w:w="2981"/>
              <w:gridCol w:w="2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jc w:val="center"/>
              </w:trPr>
              <w:tc>
                <w:tcPr>
                  <w:tcW w:w="157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220" w:rightChars="100" w:firstLine="210" w:firstLineChars="10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样品类别</w:t>
                  </w:r>
                </w:p>
              </w:tc>
              <w:tc>
                <w:tcPr>
                  <w:tcW w:w="5962"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220" w:rightChars="100" w:firstLine="210" w:firstLineChars="10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jc w:val="center"/>
              </w:trPr>
              <w:tc>
                <w:tcPr>
                  <w:tcW w:w="157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220" w:rightChars="100" w:firstLine="210" w:firstLineChars="10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监测项目</w:t>
                  </w:r>
                </w:p>
              </w:tc>
              <w:tc>
                <w:tcPr>
                  <w:tcW w:w="5962"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220" w:rightChars="100" w:firstLine="210" w:firstLineChars="10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厂界噪声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jc w:val="center"/>
              </w:trPr>
              <w:tc>
                <w:tcPr>
                  <w:tcW w:w="157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220" w:rightChars="100" w:firstLine="210" w:firstLineChars="10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样品状态</w:t>
                  </w:r>
                </w:p>
              </w:tc>
              <w:tc>
                <w:tcPr>
                  <w:tcW w:w="5962"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220" w:rightChars="100" w:firstLine="210" w:firstLineChars="10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jc w:val="center"/>
              </w:trPr>
              <w:tc>
                <w:tcPr>
                  <w:tcW w:w="157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220" w:rightChars="100" w:firstLine="210" w:firstLineChars="10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监测频次</w:t>
                  </w:r>
                </w:p>
              </w:tc>
              <w:tc>
                <w:tcPr>
                  <w:tcW w:w="5962"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220" w:rightChars="100" w:firstLine="210" w:firstLineChars="10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连续监测2天，昼间、夜间各监测1次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jc w:val="center"/>
              </w:trPr>
              <w:tc>
                <w:tcPr>
                  <w:tcW w:w="157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220" w:rightChars="100" w:firstLine="210" w:firstLineChars="10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监测点位</w:t>
                  </w:r>
                </w:p>
              </w:tc>
              <w:tc>
                <w:tcPr>
                  <w:tcW w:w="5962"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220" w:rightChars="100" w:firstLine="210" w:firstLineChars="10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污水处理设施进口、出口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jc w:val="center"/>
              </w:trPr>
              <w:tc>
                <w:tcPr>
                  <w:tcW w:w="157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220" w:rightChars="100" w:firstLine="210" w:firstLineChars="10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采样日期</w:t>
                  </w:r>
                </w:p>
              </w:tc>
              <w:tc>
                <w:tcPr>
                  <w:tcW w:w="298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220" w:rightChars="100" w:firstLine="210" w:firstLineChars="10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2018年7月11日</w:t>
                  </w:r>
                </w:p>
              </w:tc>
              <w:tc>
                <w:tcPr>
                  <w:tcW w:w="298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220" w:rightChars="100" w:firstLine="210" w:firstLineChars="10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2018年7月12日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jc w:val="center"/>
              </w:trPr>
              <w:tc>
                <w:tcPr>
                  <w:tcW w:w="157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220" w:rightChars="100" w:firstLine="210" w:firstLineChars="10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监测日期</w:t>
                  </w:r>
                </w:p>
              </w:tc>
              <w:tc>
                <w:tcPr>
                  <w:tcW w:w="298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220" w:rightChars="100" w:firstLine="210" w:firstLineChars="10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2018年7月11日</w:t>
                  </w:r>
                </w:p>
              </w:tc>
              <w:tc>
                <w:tcPr>
                  <w:tcW w:w="298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220" w:rightChars="100" w:firstLine="210" w:firstLineChars="10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2018年7月12日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jc w:val="center"/>
              </w:trPr>
              <w:tc>
                <w:tcPr>
                  <w:tcW w:w="157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220" w:rightChars="100" w:firstLine="210" w:firstLineChars="10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天气状况</w:t>
                  </w:r>
                </w:p>
              </w:tc>
              <w:tc>
                <w:tcPr>
                  <w:tcW w:w="298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220" w:rightChars="100" w:firstLine="210" w:firstLineChars="10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晴</w:t>
                  </w:r>
                </w:p>
              </w:tc>
              <w:tc>
                <w:tcPr>
                  <w:tcW w:w="298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220" w:rightChars="100" w:firstLine="210" w:firstLineChars="10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jc w:val="center"/>
              </w:trPr>
              <w:tc>
                <w:tcPr>
                  <w:tcW w:w="157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220" w:rightChars="10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环境大气压</w:t>
                  </w:r>
                </w:p>
              </w:tc>
              <w:tc>
                <w:tcPr>
                  <w:tcW w:w="298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220" w:rightChars="100" w:firstLine="210" w:firstLineChars="10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87.1kPa</w:t>
                  </w:r>
                </w:p>
              </w:tc>
              <w:tc>
                <w:tcPr>
                  <w:tcW w:w="298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220" w:rightChars="100" w:firstLine="210" w:firstLineChars="10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87.4kPa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jc w:val="center"/>
              </w:trPr>
              <w:tc>
                <w:tcPr>
                  <w:tcW w:w="157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220" w:rightChars="10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环境温度</w:t>
                  </w:r>
                </w:p>
              </w:tc>
              <w:tc>
                <w:tcPr>
                  <w:tcW w:w="298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220" w:rightChars="100" w:firstLine="210" w:firstLineChars="10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27.8℃</w:t>
                  </w:r>
                </w:p>
              </w:tc>
              <w:tc>
                <w:tcPr>
                  <w:tcW w:w="298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220" w:rightChars="100" w:firstLine="210" w:firstLineChars="10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jc w:val="center"/>
              </w:trPr>
              <w:tc>
                <w:tcPr>
                  <w:tcW w:w="157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220" w:rightChars="10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风速</w:t>
                  </w:r>
                </w:p>
              </w:tc>
              <w:tc>
                <w:tcPr>
                  <w:tcW w:w="298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220" w:rightChars="100" w:firstLine="210" w:firstLineChars="10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0.8m/s</w:t>
                  </w:r>
                </w:p>
              </w:tc>
              <w:tc>
                <w:tcPr>
                  <w:tcW w:w="298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220" w:rightChars="100" w:firstLine="210" w:firstLineChars="10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1.2m/s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jc w:val="center"/>
              </w:trPr>
              <w:tc>
                <w:tcPr>
                  <w:tcW w:w="157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220" w:rightChars="10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风向</w:t>
                  </w:r>
                </w:p>
              </w:tc>
              <w:tc>
                <w:tcPr>
                  <w:tcW w:w="298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220" w:rightChars="100" w:firstLine="210" w:firstLineChars="10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S</w:t>
                  </w:r>
                </w:p>
              </w:tc>
              <w:tc>
                <w:tcPr>
                  <w:tcW w:w="298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220" w:rightChars="100" w:firstLine="210" w:firstLineChars="10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SW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jc w:val="center"/>
              </w:trPr>
              <w:tc>
                <w:tcPr>
                  <w:tcW w:w="157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220" w:rightChars="10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备注</w:t>
                  </w:r>
                </w:p>
              </w:tc>
              <w:tc>
                <w:tcPr>
                  <w:tcW w:w="5962"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220" w:rightChars="100" w:firstLine="210" w:firstLineChars="10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由于项目位于东北、西北侧紧邻公路，主要为交通噪声，故不监测厂界东北、西北侧噪声</w:t>
                  </w:r>
                </w:p>
              </w:tc>
            </w:tr>
          </w:tbl>
          <w:p>
            <w:pPr>
              <w:widowControl w:val="0"/>
              <w:numPr>
                <w:ilvl w:val="0"/>
                <w:numId w:val="0"/>
              </w:numPr>
              <w:jc w:val="both"/>
              <w:rPr>
                <w:rFonts w:hint="eastAsia" w:ascii="宋体" w:hAnsi="宋体" w:eastAsia="宋体" w:cs="宋体"/>
                <w:color w:val="000000"/>
                <w:sz w:val="21"/>
                <w:szCs w:val="21"/>
                <w:highlight w:val="green"/>
                <w:lang w:val="en-US" w:eastAsia="zh-CN"/>
              </w:rPr>
            </w:pPr>
          </w:p>
          <w:p>
            <w:pPr>
              <w:widowControl w:val="0"/>
              <w:numPr>
                <w:ilvl w:val="0"/>
                <w:numId w:val="0"/>
              </w:numPr>
              <w:jc w:val="both"/>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（2）废水检测项目及分析方法</w:t>
            </w:r>
          </w:p>
          <w:tbl>
            <w:tblPr>
              <w:tblStyle w:val="9"/>
              <w:tblW w:w="8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2760"/>
              <w:gridCol w:w="1691"/>
              <w:gridCol w:w="2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78" w:type="dxa"/>
                  <w:vAlign w:val="center"/>
                </w:tcPr>
                <w:p>
                  <w:pPr>
                    <w:widowControl w:val="0"/>
                    <w:numPr>
                      <w:ilvl w:val="0"/>
                      <w:numId w:val="0"/>
                    </w:numPr>
                    <w:jc w:val="center"/>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监测项目</w:t>
                  </w:r>
                </w:p>
              </w:tc>
              <w:tc>
                <w:tcPr>
                  <w:tcW w:w="2760" w:type="dxa"/>
                  <w:vAlign w:val="center"/>
                </w:tcPr>
                <w:p>
                  <w:pPr>
                    <w:widowControl w:val="0"/>
                    <w:numPr>
                      <w:ilvl w:val="0"/>
                      <w:numId w:val="0"/>
                    </w:numPr>
                    <w:jc w:val="center"/>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分析方法及来源</w:t>
                  </w:r>
                </w:p>
              </w:tc>
              <w:tc>
                <w:tcPr>
                  <w:tcW w:w="1691" w:type="dxa"/>
                  <w:vAlign w:val="center"/>
                </w:tcPr>
                <w:p>
                  <w:pPr>
                    <w:widowControl w:val="0"/>
                    <w:numPr>
                      <w:ilvl w:val="0"/>
                      <w:numId w:val="0"/>
                    </w:numPr>
                    <w:jc w:val="center"/>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固定资产编号</w:t>
                  </w:r>
                </w:p>
              </w:tc>
              <w:tc>
                <w:tcPr>
                  <w:tcW w:w="2077" w:type="dxa"/>
                  <w:vAlign w:val="center"/>
                </w:tcPr>
                <w:p>
                  <w:pPr>
                    <w:widowControl w:val="0"/>
                    <w:numPr>
                      <w:ilvl w:val="0"/>
                      <w:numId w:val="0"/>
                    </w:numPr>
                    <w:jc w:val="center"/>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仪器名称及型号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78" w:type="dxa"/>
                  <w:vAlign w:val="center"/>
                </w:tcPr>
                <w:p>
                  <w:pPr>
                    <w:widowControl w:val="0"/>
                    <w:numPr>
                      <w:ilvl w:val="0"/>
                      <w:numId w:val="0"/>
                    </w:numPr>
                    <w:jc w:val="center"/>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等效连续A声级Leq</w:t>
                  </w:r>
                </w:p>
              </w:tc>
              <w:tc>
                <w:tcPr>
                  <w:tcW w:w="2760" w:type="dxa"/>
                  <w:vAlign w:val="center"/>
                </w:tcPr>
                <w:p>
                  <w:pPr>
                    <w:widowControl w:val="0"/>
                    <w:numPr>
                      <w:ilvl w:val="0"/>
                      <w:numId w:val="0"/>
                    </w:numPr>
                    <w:jc w:val="center"/>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《工业企业厂界环境噪声》（GB 12348-2008）</w:t>
                  </w:r>
                </w:p>
              </w:tc>
              <w:tc>
                <w:tcPr>
                  <w:tcW w:w="1691" w:type="dxa"/>
                  <w:vAlign w:val="center"/>
                </w:tcPr>
                <w:p>
                  <w:pPr>
                    <w:widowControl w:val="0"/>
                    <w:numPr>
                      <w:ilvl w:val="0"/>
                      <w:numId w:val="0"/>
                    </w:numPr>
                    <w:jc w:val="center"/>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RSKHJ201532</w:t>
                  </w:r>
                </w:p>
              </w:tc>
              <w:tc>
                <w:tcPr>
                  <w:tcW w:w="2077" w:type="dxa"/>
                  <w:vAlign w:val="center"/>
                </w:tcPr>
                <w:p>
                  <w:pPr>
                    <w:widowControl w:val="0"/>
                    <w:numPr>
                      <w:ilvl w:val="0"/>
                      <w:numId w:val="0"/>
                    </w:numPr>
                    <w:jc w:val="center"/>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AWA6228声级器</w:t>
                  </w:r>
                </w:p>
              </w:tc>
            </w:tr>
          </w:tbl>
          <w:p>
            <w:pPr>
              <w:widowControl w:val="0"/>
              <w:numPr>
                <w:ilvl w:val="0"/>
                <w:numId w:val="0"/>
              </w:numPr>
              <w:jc w:val="both"/>
              <w:rPr>
                <w:rFonts w:hint="eastAsia" w:ascii="宋体" w:hAnsi="宋体" w:eastAsia="宋体" w:cs="宋体"/>
                <w:color w:val="auto"/>
                <w:sz w:val="21"/>
                <w:szCs w:val="21"/>
                <w:highlight w:val="none"/>
                <w:lang w:val="en-US" w:eastAsia="zh-CN"/>
              </w:rPr>
            </w:pPr>
          </w:p>
          <w:p>
            <w:pPr>
              <w:widowControl w:val="0"/>
              <w:numPr>
                <w:ilvl w:val="0"/>
                <w:numId w:val="0"/>
              </w:numPr>
              <w:jc w:val="both"/>
              <w:rPr>
                <w:rFonts w:hint="eastAsia" w:ascii="宋体" w:hAnsi="宋体" w:eastAsia="宋体" w:cs="宋体"/>
                <w:color w:val="000000"/>
                <w:sz w:val="21"/>
                <w:szCs w:val="21"/>
                <w:highlight w:val="green"/>
                <w:lang w:val="en-US" w:eastAsia="zh-CN"/>
              </w:rPr>
            </w:pPr>
            <w:r>
              <w:rPr>
                <w:rFonts w:hint="eastAsia" w:ascii="宋体" w:hAnsi="宋体" w:eastAsia="宋体" w:cs="宋体"/>
                <w:color w:val="000000"/>
                <w:sz w:val="21"/>
                <w:szCs w:val="21"/>
                <w:highlight w:val="none"/>
                <w:lang w:val="en-US" w:eastAsia="zh-CN"/>
              </w:rPr>
              <w:t>3、废水、噪声监测点位布置示意图见附件1、监测报告</w:t>
            </w:r>
          </w:p>
        </w:tc>
      </w:tr>
    </w:tbl>
    <w:p>
      <w:pPr>
        <w:spacing w:after="0" w:afterLines="0" w:line="360" w:lineRule="auto"/>
        <w:rPr>
          <w:rFonts w:hint="eastAsia" w:hAnsi="Arial" w:eastAsia="仿宋_GB2312" w:cs="Times New Roman"/>
          <w:b/>
          <w:color w:val="000000"/>
          <w:sz w:val="21"/>
          <w:szCs w:val="21"/>
          <w:lang w:val="en-US" w:eastAsia="zh-CN"/>
        </w:rPr>
      </w:pPr>
    </w:p>
    <w:p>
      <w:pPr>
        <w:spacing w:after="0" w:afterLines="0" w:line="360" w:lineRule="auto"/>
        <w:rPr>
          <w:rFonts w:hint="eastAsia" w:hAnsi="Arial" w:eastAsia="仿宋_GB2312" w:cs="Times New Roman"/>
          <w:b/>
          <w:color w:val="000000"/>
          <w:sz w:val="21"/>
          <w:szCs w:val="21"/>
          <w:lang w:val="en-US" w:eastAsia="zh-CN"/>
        </w:rPr>
      </w:pPr>
      <w:r>
        <w:rPr>
          <w:rFonts w:hint="eastAsia" w:hAnsi="Arial" w:eastAsia="仿宋_GB2312" w:cs="Times New Roman"/>
          <w:b/>
          <w:color w:val="000000"/>
          <w:sz w:val="21"/>
          <w:szCs w:val="21"/>
          <w:lang w:val="en-US" w:eastAsia="zh-CN"/>
        </w:rPr>
        <w:t>表七、验收监测结论及建议</w:t>
      </w:r>
    </w:p>
    <w:tbl>
      <w:tblPr>
        <w:tblStyle w:val="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92" w:hRule="atLeast"/>
        </w:trPr>
        <w:tc>
          <w:tcPr>
            <w:tcW w:w="8522" w:type="dxa"/>
          </w:tcPr>
          <w:p>
            <w:pPr>
              <w:keepNext w:val="0"/>
              <w:keepLines w:val="0"/>
              <w:pageBreakBefore w:val="0"/>
              <w:widowControl/>
              <w:kinsoku/>
              <w:wordWrap/>
              <w:overflowPunct/>
              <w:topLinePunct w:val="0"/>
              <w:autoSpaceDE/>
              <w:autoSpaceDN/>
              <w:bidi w:val="0"/>
              <w:adjustRightInd w:val="0"/>
              <w:snapToGrid w:val="0"/>
              <w:spacing w:after="80" w:line="288" w:lineRule="auto"/>
              <w:ind w:firstLine="420" w:firstLineChars="200"/>
              <w:jc w:val="both"/>
              <w:textAlignment w:val="auto"/>
              <w:outlineLvl w:val="9"/>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一、项目概况</w:t>
            </w:r>
          </w:p>
          <w:p>
            <w:pPr>
              <w:keepNext w:val="0"/>
              <w:keepLines w:val="0"/>
              <w:pageBreakBefore w:val="0"/>
              <w:widowControl/>
              <w:kinsoku/>
              <w:wordWrap/>
              <w:overflowPunct/>
              <w:topLinePunct w:val="0"/>
              <w:autoSpaceDE/>
              <w:autoSpaceDN/>
              <w:bidi w:val="0"/>
              <w:adjustRightInd w:val="0"/>
              <w:snapToGrid w:val="0"/>
              <w:spacing w:after="100" w:line="288" w:lineRule="auto"/>
              <w:ind w:right="220" w:rightChars="100" w:firstLine="420" w:firstLineChars="200"/>
              <w:jc w:val="both"/>
              <w:textAlignment w:val="auto"/>
              <w:outlineLvl w:val="9"/>
              <w:rPr>
                <w:rFonts w:hint="eastAsia" w:ascii="宋体" w:hAnsi="宋体" w:eastAsia="宋体" w:cs="宋体"/>
                <w:color w:val="000000"/>
                <w:sz w:val="21"/>
                <w:szCs w:val="21"/>
                <w:lang w:val="en-US" w:eastAsia="zh-CN"/>
              </w:rPr>
            </w:pPr>
            <w:r>
              <w:rPr>
                <w:rFonts w:hint="default" w:ascii="宋体" w:hAnsi="宋体" w:eastAsia="宋体" w:cs="宋体"/>
                <w:color w:val="000000"/>
                <w:sz w:val="21"/>
                <w:szCs w:val="21"/>
                <w:lang w:val="en-US" w:eastAsia="zh-CN"/>
              </w:rPr>
              <w:t>本项目</w:t>
            </w:r>
            <w:r>
              <w:rPr>
                <w:rFonts w:hint="eastAsia" w:ascii="宋体" w:hAnsi="宋体" w:eastAsia="宋体" w:cs="宋体"/>
                <w:color w:val="000000"/>
                <w:sz w:val="21"/>
                <w:szCs w:val="21"/>
                <w:lang w:val="en-US" w:eastAsia="zh-CN"/>
              </w:rPr>
              <w:t>位于</w:t>
            </w:r>
            <w:r>
              <w:rPr>
                <w:rFonts w:hint="default" w:ascii="宋体" w:hAnsi="宋体" w:eastAsia="宋体" w:cs="宋体"/>
                <w:color w:val="000000"/>
                <w:sz w:val="21"/>
                <w:szCs w:val="21"/>
                <w:lang w:val="en-US" w:eastAsia="zh-CN"/>
              </w:rPr>
              <w:t>云岩区枣山路</w:t>
            </w:r>
            <w:r>
              <w:rPr>
                <w:rFonts w:hint="eastAsia" w:ascii="宋体" w:hAnsi="宋体" w:eastAsia="宋体" w:cs="宋体"/>
                <w:color w:val="000000"/>
                <w:sz w:val="21"/>
                <w:szCs w:val="21"/>
                <w:lang w:val="en-US" w:eastAsia="zh-CN"/>
              </w:rPr>
              <w:t>126号(</w:t>
            </w:r>
            <w:r>
              <w:rPr>
                <w:rFonts w:hint="default" w:ascii="宋体" w:hAnsi="宋体" w:eastAsia="宋体" w:cs="宋体"/>
                <w:color w:val="000000"/>
                <w:sz w:val="21"/>
                <w:szCs w:val="21"/>
                <w:lang w:val="en-US" w:eastAsia="zh-CN"/>
              </w:rPr>
              <w:t>一层隔层及二层</w:t>
            </w:r>
            <w:r>
              <w:rPr>
                <w:rFonts w:hint="eastAsia" w:ascii="宋体" w:hAnsi="宋体" w:eastAsia="宋体" w:cs="宋体"/>
                <w:color w:val="000000"/>
                <w:sz w:val="21"/>
                <w:szCs w:val="21"/>
                <w:lang w:val="en-US" w:eastAsia="zh-CN"/>
              </w:rPr>
              <w:t>)</w:t>
            </w:r>
            <w:r>
              <w:rPr>
                <w:rFonts w:hint="default" w:ascii="宋体" w:hAnsi="宋体" w:eastAsia="宋体" w:cs="宋体"/>
                <w:color w:val="000000"/>
                <w:sz w:val="21"/>
                <w:szCs w:val="21"/>
                <w:lang w:val="en-US" w:eastAsia="zh-CN"/>
              </w:rPr>
              <w:t>，中心点地理坐标为东经106°41′36″，北纬26°35′29″</w:t>
            </w:r>
            <w:r>
              <w:rPr>
                <w:rFonts w:hint="eastAsia" w:ascii="宋体" w:hAnsi="宋体" w:eastAsia="宋体" w:cs="宋体"/>
                <w:color w:val="000000"/>
                <w:sz w:val="21"/>
                <w:szCs w:val="21"/>
                <w:lang w:val="en-US" w:eastAsia="zh-CN"/>
              </w:rPr>
              <w:t>。</w:t>
            </w:r>
            <w:r>
              <w:rPr>
                <w:rFonts w:hint="eastAsia" w:ascii="宋体" w:hAnsi="宋体" w:eastAsia="宋体" w:cs="宋体"/>
                <w:color w:val="000000"/>
                <w:sz w:val="21"/>
                <w:szCs w:val="21"/>
                <w:highlight w:val="none"/>
                <w:lang w:val="en-US" w:eastAsia="zh-CN"/>
              </w:rPr>
              <w:t>项目实际投资1000万元，实际环保投资23.5万元，建设规模为</w:t>
            </w:r>
            <w:r>
              <w:rPr>
                <w:rFonts w:hint="default" w:ascii="宋体" w:hAnsi="宋体" w:eastAsia="宋体" w:cs="宋体"/>
                <w:color w:val="000000"/>
                <w:sz w:val="21"/>
                <w:szCs w:val="21"/>
                <w:highlight w:val="none"/>
                <w:lang w:val="en-US" w:eastAsia="zh-CN"/>
              </w:rPr>
              <w:t>总建</w:t>
            </w:r>
            <w:r>
              <w:rPr>
                <w:rFonts w:hint="default" w:ascii="宋体" w:hAnsi="宋体" w:eastAsia="宋体" w:cs="宋体"/>
                <w:color w:val="000000"/>
                <w:sz w:val="21"/>
                <w:szCs w:val="21"/>
                <w:lang w:val="en-US" w:eastAsia="zh-CN"/>
              </w:rPr>
              <w:t>筑面积754</w:t>
            </w:r>
            <w:r>
              <w:rPr>
                <w:rFonts w:hint="eastAsia" w:ascii="宋体" w:hAnsi="宋体" w:eastAsia="宋体" w:cs="宋体"/>
                <w:color w:val="000000"/>
                <w:sz w:val="21"/>
                <w:szCs w:val="21"/>
                <w:lang w:val="en-US" w:eastAsia="zh-CN"/>
              </w:rPr>
              <w:t>㎡</w:t>
            </w:r>
            <w:r>
              <w:rPr>
                <w:rFonts w:hint="default" w:ascii="宋体" w:hAnsi="宋体" w:eastAsia="宋体" w:cs="宋体"/>
                <w:color w:val="000000"/>
                <w:sz w:val="21"/>
                <w:szCs w:val="21"/>
                <w:lang w:val="en-US" w:eastAsia="zh-CN"/>
              </w:rPr>
              <w:t>，主要建设内容包括药房、大厅、B超室、心电图室、检查室、肌注治疗室、计划生育室、牙片室、内科诊室、外科诊室、妇科门诊室、医疗固废暂存间</w:t>
            </w:r>
            <w:r>
              <w:rPr>
                <w:rFonts w:hint="eastAsia" w:ascii="宋体" w:hAnsi="宋体" w:eastAsia="宋体" w:cs="宋体"/>
                <w:color w:val="000000"/>
                <w:sz w:val="21"/>
                <w:szCs w:val="21"/>
                <w:lang w:val="en-US" w:eastAsia="zh-CN"/>
              </w:rPr>
              <w:t>、</w:t>
            </w:r>
            <w:r>
              <w:rPr>
                <w:rFonts w:hint="default" w:ascii="宋体" w:hAnsi="宋体" w:eastAsia="宋体" w:cs="宋体"/>
                <w:color w:val="000000"/>
                <w:sz w:val="21"/>
                <w:szCs w:val="21"/>
                <w:lang w:val="en-US" w:eastAsia="zh-CN"/>
              </w:rPr>
              <w:t>办公室和库房等</w:t>
            </w:r>
            <w:r>
              <w:rPr>
                <w:rFonts w:hint="eastAsia" w:ascii="宋体" w:hAnsi="宋体" w:eastAsia="宋体" w:cs="宋体"/>
                <w:color w:val="000000"/>
                <w:sz w:val="21"/>
                <w:szCs w:val="21"/>
                <w:lang w:val="en-US" w:eastAsia="zh-CN"/>
              </w:rPr>
              <w:t>；服务站</w:t>
            </w:r>
            <w:r>
              <w:rPr>
                <w:rFonts w:hint="default" w:ascii="宋体" w:hAnsi="宋体" w:eastAsia="宋体" w:cs="宋体"/>
                <w:color w:val="000000"/>
                <w:sz w:val="21"/>
                <w:szCs w:val="21"/>
                <w:lang w:val="en-US" w:eastAsia="zh-CN"/>
              </w:rPr>
              <w:t>门诊量为</w:t>
            </w:r>
            <w:r>
              <w:rPr>
                <w:rFonts w:hint="eastAsia" w:ascii="宋体" w:hAnsi="宋体" w:eastAsia="宋体" w:cs="宋体"/>
                <w:color w:val="000000"/>
                <w:sz w:val="21"/>
                <w:szCs w:val="21"/>
                <w:lang w:val="en-US" w:eastAsia="zh-CN"/>
              </w:rPr>
              <w:t>4</w:t>
            </w:r>
            <w:r>
              <w:rPr>
                <w:rFonts w:hint="default" w:ascii="宋体" w:hAnsi="宋体" w:eastAsia="宋体" w:cs="宋体"/>
                <w:color w:val="000000"/>
                <w:sz w:val="21"/>
                <w:szCs w:val="21"/>
                <w:lang w:val="en-US" w:eastAsia="zh-CN"/>
              </w:rPr>
              <w:t>0人/d</w:t>
            </w:r>
            <w:r>
              <w:rPr>
                <w:rFonts w:hint="eastAsia" w:ascii="宋体" w:hAnsi="宋体" w:eastAsia="宋体" w:cs="宋体"/>
                <w:color w:val="000000"/>
                <w:sz w:val="21"/>
                <w:szCs w:val="21"/>
                <w:lang w:val="en-US" w:eastAsia="zh-CN"/>
              </w:rPr>
              <w:t>，</w:t>
            </w:r>
            <w:r>
              <w:rPr>
                <w:rFonts w:hint="default" w:ascii="宋体" w:hAnsi="宋体" w:eastAsia="宋体" w:cs="宋体"/>
                <w:color w:val="000000"/>
                <w:sz w:val="21"/>
                <w:szCs w:val="21"/>
                <w:lang w:val="en-US" w:eastAsia="zh-CN"/>
              </w:rPr>
              <w:t>无</w:t>
            </w:r>
            <w:r>
              <w:rPr>
                <w:rFonts w:hint="eastAsia" w:ascii="宋体" w:hAnsi="宋体" w:eastAsia="宋体" w:cs="宋体"/>
                <w:color w:val="000000"/>
                <w:sz w:val="21"/>
                <w:szCs w:val="21"/>
                <w:lang w:val="en-US" w:eastAsia="zh-CN"/>
              </w:rPr>
              <w:t>留观</w:t>
            </w:r>
            <w:r>
              <w:rPr>
                <w:rFonts w:hint="default" w:ascii="宋体" w:hAnsi="宋体" w:eastAsia="宋体" w:cs="宋体"/>
                <w:color w:val="000000"/>
                <w:sz w:val="21"/>
                <w:szCs w:val="21"/>
                <w:lang w:val="en-US" w:eastAsia="zh-CN"/>
              </w:rPr>
              <w:t>病人</w:t>
            </w:r>
            <w:r>
              <w:rPr>
                <w:rFonts w:hint="eastAsia" w:ascii="宋体" w:hAnsi="宋体" w:eastAsia="宋体" w:cs="宋体"/>
                <w:color w:val="000000"/>
                <w:sz w:val="21"/>
                <w:szCs w:val="21"/>
                <w:lang w:val="en-US" w:eastAsia="zh-CN"/>
              </w:rPr>
              <w:t>；</w:t>
            </w:r>
            <w:r>
              <w:rPr>
                <w:rFonts w:hint="default" w:ascii="宋体" w:hAnsi="宋体" w:eastAsia="宋体" w:cs="宋体"/>
                <w:color w:val="000000"/>
                <w:sz w:val="21"/>
                <w:szCs w:val="21"/>
                <w:lang w:val="en-US" w:eastAsia="zh-CN"/>
              </w:rPr>
              <w:t>医务人员共</w:t>
            </w:r>
            <w:r>
              <w:rPr>
                <w:rFonts w:hint="eastAsia" w:ascii="宋体" w:hAnsi="宋体" w:eastAsia="宋体" w:cs="宋体"/>
                <w:color w:val="000000"/>
                <w:sz w:val="21"/>
                <w:szCs w:val="21"/>
                <w:lang w:val="en-US" w:eastAsia="zh-CN"/>
              </w:rPr>
              <w:t>50</w:t>
            </w:r>
            <w:r>
              <w:rPr>
                <w:rFonts w:hint="default" w:ascii="宋体" w:hAnsi="宋体" w:eastAsia="宋体" w:cs="宋体"/>
                <w:color w:val="000000"/>
                <w:sz w:val="21"/>
                <w:szCs w:val="21"/>
                <w:lang w:val="en-US" w:eastAsia="zh-CN"/>
              </w:rPr>
              <w:t>人，</w:t>
            </w:r>
            <w:r>
              <w:rPr>
                <w:rFonts w:hint="eastAsia" w:ascii="宋体" w:hAnsi="宋体" w:eastAsia="宋体" w:cs="宋体"/>
                <w:color w:val="000000"/>
                <w:sz w:val="21"/>
                <w:szCs w:val="21"/>
                <w:lang w:val="en-US" w:eastAsia="zh-CN"/>
              </w:rPr>
              <w:t>其中医生12人，护士38人。</w:t>
            </w:r>
            <w:r>
              <w:rPr>
                <w:rFonts w:hint="default" w:ascii="宋体" w:hAnsi="宋体" w:eastAsia="宋体" w:cs="宋体"/>
                <w:color w:val="000000"/>
                <w:sz w:val="21"/>
                <w:szCs w:val="21"/>
                <w:lang w:val="en-US" w:eastAsia="zh-CN"/>
              </w:rPr>
              <w:t>工作制度为24小时(三班)应诊制度，年工作时间365天。</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100" w:line="288" w:lineRule="auto"/>
              <w:ind w:left="220" w:leftChars="100" w:right="220" w:rightChars="100" w:firstLine="420" w:firstLineChars="200"/>
              <w:jc w:val="left"/>
              <w:textAlignment w:val="auto"/>
              <w:outlineLvl w:val="9"/>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2017年7月贵州省肿瘤医院有限公司委托贵州大学科技园发展有限公司完成本项目环境影响报告表；2017年9月19日取得云岩区环境保护局的批复。受贵州省肿瘤医院有限公司的委托，贵州瑞思科环境科技有限公司于2018年7月11日、2018年7月12日完成了对该项目的竣工环境保护验收监测。</w:t>
            </w:r>
          </w:p>
          <w:p>
            <w:pPr>
              <w:keepNext w:val="0"/>
              <w:keepLines w:val="0"/>
              <w:pageBreakBefore w:val="0"/>
              <w:widowControl/>
              <w:numPr>
                <w:ilvl w:val="0"/>
                <w:numId w:val="4"/>
              </w:numPr>
              <w:suppressLineNumbers w:val="0"/>
              <w:kinsoku/>
              <w:wordWrap/>
              <w:overflowPunct/>
              <w:topLinePunct w:val="0"/>
              <w:autoSpaceDE/>
              <w:autoSpaceDN/>
              <w:bidi w:val="0"/>
              <w:adjustRightInd w:val="0"/>
              <w:snapToGrid w:val="0"/>
              <w:spacing w:after="100" w:line="288" w:lineRule="auto"/>
              <w:ind w:left="220" w:leftChars="100" w:right="220" w:rightChars="100" w:firstLine="420" w:firstLineChars="200"/>
              <w:jc w:val="left"/>
              <w:textAlignment w:val="auto"/>
              <w:outlineLvl w:val="9"/>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监测期间工况</w:t>
            </w:r>
            <w:r>
              <w:rPr>
                <w:rFonts w:hint="eastAsia" w:ascii="宋体" w:hAnsi="宋体" w:eastAsia="宋体" w:cs="宋体"/>
                <w:color w:val="000000"/>
                <w:sz w:val="21"/>
                <w:szCs w:val="21"/>
                <w:lang w:val="en-US" w:eastAsia="zh-CN"/>
              </w:rPr>
              <w:br w:type="textWrapping"/>
            </w:r>
            <w:r>
              <w:rPr>
                <w:rFonts w:hint="eastAsia" w:ascii="宋体" w:hAnsi="宋体" w:eastAsia="宋体" w:cs="宋体"/>
                <w:color w:val="000000"/>
                <w:sz w:val="21"/>
                <w:szCs w:val="21"/>
                <w:lang w:val="en-US" w:eastAsia="zh-CN"/>
              </w:rPr>
              <w:t xml:space="preserve">  监测期间，各类污染防治设施正常运行，符合验收监测要求。</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80" w:line="288" w:lineRule="auto"/>
              <w:ind w:right="220" w:rightChars="100" w:firstLine="420" w:firstLineChars="200"/>
              <w:jc w:val="left"/>
              <w:textAlignment w:val="auto"/>
              <w:outlineLvl w:val="9"/>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 xml:space="preserve"> 三、监测结论</w:t>
            </w:r>
          </w:p>
          <w:p>
            <w:pPr>
              <w:keepNext w:val="0"/>
              <w:keepLines w:val="0"/>
              <w:pageBreakBefore w:val="0"/>
              <w:widowControl w:val="0"/>
              <w:kinsoku/>
              <w:wordWrap w:val="0"/>
              <w:overflowPunct/>
              <w:topLinePunct w:val="0"/>
              <w:autoSpaceDE/>
              <w:autoSpaceDN/>
              <w:bidi w:val="0"/>
              <w:adjustRightInd w:val="0"/>
              <w:snapToGrid w:val="0"/>
              <w:spacing w:after="0" w:line="288" w:lineRule="auto"/>
              <w:ind w:right="220" w:rightChars="100" w:firstLine="420" w:firstLineChars="200"/>
              <w:jc w:val="both"/>
              <w:textAlignment w:val="auto"/>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（1）废水</w:t>
            </w:r>
          </w:p>
          <w:p>
            <w:pPr>
              <w:keepNext w:val="0"/>
              <w:keepLines w:val="0"/>
              <w:pageBreakBefore w:val="0"/>
              <w:widowControl/>
              <w:kinsoku/>
              <w:wordWrap/>
              <w:overflowPunct/>
              <w:topLinePunct w:val="0"/>
              <w:autoSpaceDE/>
              <w:autoSpaceDN/>
              <w:bidi w:val="0"/>
              <w:adjustRightInd w:val="0"/>
              <w:snapToGrid w:val="0"/>
              <w:spacing w:after="100" w:line="288" w:lineRule="auto"/>
              <w:ind w:left="220" w:leftChars="100" w:right="220" w:rightChars="100" w:firstLine="420" w:firstLineChars="200"/>
              <w:jc w:val="both"/>
              <w:textAlignment w:val="auto"/>
              <w:outlineLvl w:val="9"/>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监测期间，污水处理厂出水排口中pH值、化学需氧量、生化需氧量、悬浮物、动植物油、粪大肠菌群和总余氯的日均排放浓度均符合《医疗机构水污染物排放标准》（GB 18466-2005）表2预处理标准。</w:t>
            </w:r>
          </w:p>
          <w:p>
            <w:pPr>
              <w:keepNext w:val="0"/>
              <w:keepLines w:val="0"/>
              <w:pageBreakBefore w:val="0"/>
              <w:widowControl w:val="0"/>
              <w:kinsoku/>
              <w:wordWrap w:val="0"/>
              <w:overflowPunct/>
              <w:topLinePunct w:val="0"/>
              <w:autoSpaceDE/>
              <w:autoSpaceDN/>
              <w:bidi w:val="0"/>
              <w:adjustRightInd w:val="0"/>
              <w:snapToGrid w:val="0"/>
              <w:spacing w:after="0" w:line="288" w:lineRule="auto"/>
              <w:ind w:right="220" w:rightChars="100" w:firstLine="420" w:firstLineChars="200"/>
              <w:jc w:val="both"/>
              <w:textAlignment w:val="auto"/>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（2）噪声</w:t>
            </w:r>
          </w:p>
          <w:p>
            <w:pPr>
              <w:keepNext w:val="0"/>
              <w:keepLines w:val="0"/>
              <w:pageBreakBefore w:val="0"/>
              <w:widowControl/>
              <w:kinsoku/>
              <w:wordWrap/>
              <w:overflowPunct/>
              <w:topLinePunct w:val="0"/>
              <w:autoSpaceDE/>
              <w:autoSpaceDN/>
              <w:bidi w:val="0"/>
              <w:adjustRightInd w:val="0"/>
              <w:snapToGrid w:val="0"/>
              <w:spacing w:after="100" w:line="288" w:lineRule="auto"/>
              <w:ind w:left="220" w:leftChars="100" w:right="220" w:rightChars="100" w:firstLine="420" w:firstLineChars="200"/>
              <w:jc w:val="both"/>
              <w:textAlignment w:val="auto"/>
              <w:outlineLvl w:val="9"/>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监测期间，各方位场界噪声均达到《工业企业厂界环境噪声排放标准》（GB12348-2008）中的2类标准。</w:t>
            </w:r>
          </w:p>
          <w:p>
            <w:pPr>
              <w:keepNext w:val="0"/>
              <w:keepLines w:val="0"/>
              <w:pageBreakBefore w:val="0"/>
              <w:widowControl w:val="0"/>
              <w:kinsoku/>
              <w:wordWrap w:val="0"/>
              <w:overflowPunct/>
              <w:topLinePunct w:val="0"/>
              <w:autoSpaceDE/>
              <w:autoSpaceDN/>
              <w:bidi w:val="0"/>
              <w:adjustRightInd w:val="0"/>
              <w:snapToGrid w:val="0"/>
              <w:spacing w:after="0" w:line="288" w:lineRule="auto"/>
              <w:ind w:right="220" w:rightChars="100" w:firstLine="420" w:firstLineChars="200"/>
              <w:jc w:val="both"/>
              <w:textAlignment w:val="auto"/>
              <w:outlineLvl w:val="9"/>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（3）固体废弃物</w:t>
            </w:r>
          </w:p>
          <w:p>
            <w:pPr>
              <w:keepNext w:val="0"/>
              <w:keepLines w:val="0"/>
              <w:pageBreakBefore w:val="0"/>
              <w:widowControl/>
              <w:kinsoku/>
              <w:wordWrap/>
              <w:overflowPunct/>
              <w:topLinePunct w:val="0"/>
              <w:autoSpaceDE/>
              <w:autoSpaceDN/>
              <w:bidi w:val="0"/>
              <w:adjustRightInd w:val="0"/>
              <w:snapToGrid w:val="0"/>
              <w:spacing w:after="100" w:line="288" w:lineRule="auto"/>
              <w:ind w:left="220" w:leftChars="100" w:right="220" w:rightChars="100" w:firstLine="420" w:firstLineChars="200"/>
              <w:jc w:val="both"/>
              <w:textAlignment w:val="auto"/>
              <w:outlineLvl w:val="9"/>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本项目固体废物主要分为生活垃圾、医疗废物、化粪池污泥。医疗固废垃圾包括诊疗排出的医疗垃圾如一次性注射器、废棉球、纱布等，其中医疗固废及污水处理厂污泥属于危险废物。医疗固废当前为定期分类收集后运送至贵州省肿瘤医院总院（云岩区双峰路54号），由贵阳市城投环境资产投资管理有限公司统一运送处置，化粪池由贵阳市城投环境资产投资管理有限公司定期清理，待卫生服务站正常运营后医疗废物及污水处理厂污泥处置问题将单独与贵阳市城投环境资产投资管理有限公司签署合同。生活垃圾每日由环卫部门统一清运。</w:t>
            </w:r>
          </w:p>
          <w:p>
            <w:pPr>
              <w:keepNext w:val="0"/>
              <w:keepLines w:val="0"/>
              <w:pageBreakBefore w:val="0"/>
              <w:widowControl/>
              <w:kinsoku/>
              <w:wordWrap/>
              <w:overflowPunct/>
              <w:topLinePunct w:val="0"/>
              <w:autoSpaceDE/>
              <w:autoSpaceDN/>
              <w:bidi w:val="0"/>
              <w:adjustRightInd w:val="0"/>
              <w:snapToGrid w:val="0"/>
              <w:spacing w:after="0" w:line="288" w:lineRule="auto"/>
              <w:ind w:firstLine="420" w:firstLineChars="200"/>
              <w:jc w:val="both"/>
              <w:textAlignment w:val="auto"/>
              <w:outlineLvl w:val="9"/>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四、建议</w:t>
            </w:r>
          </w:p>
          <w:p>
            <w:pPr>
              <w:keepNext w:val="0"/>
              <w:keepLines w:val="0"/>
              <w:pageBreakBefore w:val="0"/>
              <w:widowControl/>
              <w:numPr>
                <w:ilvl w:val="0"/>
                <w:numId w:val="0"/>
              </w:numPr>
              <w:kinsoku/>
              <w:wordWrap/>
              <w:overflowPunct/>
              <w:topLinePunct w:val="0"/>
              <w:autoSpaceDE/>
              <w:autoSpaceDN/>
              <w:bidi w:val="0"/>
              <w:adjustRightInd w:val="0"/>
              <w:snapToGrid w:val="0"/>
              <w:spacing w:after="100" w:line="288" w:lineRule="auto"/>
              <w:ind w:left="315" w:leftChars="0" w:right="220" w:rightChars="100"/>
              <w:jc w:val="both"/>
              <w:textAlignment w:val="auto"/>
              <w:outlineLvl w:val="9"/>
              <w:rPr>
                <w:rFonts w:hint="eastAsia"/>
                <w:vertAlign w:val="baseline"/>
                <w:lang w:val="en-US" w:eastAsia="zh-CN"/>
              </w:rPr>
            </w:pPr>
            <w:r>
              <w:rPr>
                <w:rFonts w:hint="eastAsia" w:ascii="宋体" w:hAnsi="宋体" w:eastAsia="宋体" w:cs="宋体"/>
                <w:color w:val="000000"/>
                <w:sz w:val="21"/>
                <w:szCs w:val="21"/>
                <w:lang w:val="en-US" w:eastAsia="zh-CN"/>
              </w:rPr>
              <w:t>（1）完善卫生服务站内部的环境管理体系，建立健全各项环境管理规章制度、规范、程序，对环境管理档案进行规范的保存和管理。</w:t>
            </w:r>
            <w:r>
              <w:rPr>
                <w:rFonts w:hint="eastAsia" w:ascii="宋体" w:hAnsi="宋体" w:eastAsia="宋体" w:cs="宋体"/>
                <w:color w:val="000000"/>
                <w:sz w:val="21"/>
                <w:szCs w:val="21"/>
                <w:lang w:val="en-US" w:eastAsia="zh-CN"/>
              </w:rPr>
              <w:br w:type="textWrapping"/>
            </w:r>
            <w:r>
              <w:rPr>
                <w:rFonts w:hint="eastAsia" w:ascii="宋体" w:hAnsi="宋体" w:eastAsia="宋体" w:cs="宋体"/>
                <w:color w:val="000000"/>
                <w:sz w:val="21"/>
                <w:szCs w:val="21"/>
                <w:lang w:val="en-US" w:eastAsia="zh-CN"/>
              </w:rPr>
              <w:t>（2）排污口及一般固废堆场设置规范的环保标志牌。</w:t>
            </w:r>
            <w:r>
              <w:rPr>
                <w:rFonts w:hint="eastAsia" w:ascii="宋体" w:hAnsi="宋体" w:eastAsia="宋体" w:cs="宋体"/>
                <w:color w:val="000000"/>
                <w:sz w:val="21"/>
                <w:szCs w:val="21"/>
                <w:lang w:val="en-US" w:eastAsia="zh-CN"/>
              </w:rPr>
              <w:br w:type="textWrapping"/>
            </w:r>
            <w:r>
              <w:rPr>
                <w:rFonts w:hint="eastAsia" w:ascii="宋体" w:hAnsi="宋体" w:eastAsia="宋体" w:cs="宋体"/>
                <w:color w:val="000000"/>
                <w:sz w:val="21"/>
                <w:szCs w:val="21"/>
                <w:lang w:val="en-US" w:eastAsia="zh-CN"/>
              </w:rPr>
              <w:t>（3）加强对固废的收集、处理/处置装置的日常运行管理和维护，认真执行巡检制度，确保治理设施的长期稳定高效运行，确保污染指标达标排放。</w:t>
            </w:r>
            <w:r>
              <w:rPr>
                <w:rFonts w:hint="eastAsia" w:ascii="宋体" w:hAnsi="宋体" w:eastAsia="宋体" w:cs="宋体"/>
                <w:color w:val="000000"/>
                <w:sz w:val="21"/>
                <w:szCs w:val="21"/>
                <w:lang w:val="en-US" w:eastAsia="zh-CN"/>
              </w:rPr>
              <w:br w:type="textWrapping"/>
            </w:r>
            <w:r>
              <w:rPr>
                <w:rFonts w:hint="eastAsia" w:ascii="宋体" w:hAnsi="宋体" w:eastAsia="宋体" w:cs="宋体"/>
                <w:color w:val="000000"/>
                <w:sz w:val="21"/>
                <w:szCs w:val="21"/>
                <w:lang w:val="en-US" w:eastAsia="zh-CN"/>
              </w:rPr>
              <w:t>（4）加强运营管理，做好安全工作，加强员工安全生产意识，提高员工应对突发状况的应急能力。</w:t>
            </w:r>
          </w:p>
        </w:tc>
      </w:tr>
    </w:tbl>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华文新魏">
    <w:panose1 w:val="02010800040101010101"/>
    <w:charset w:val="86"/>
    <w:family w:val="auto"/>
    <w:pitch w:val="default"/>
    <w:sig w:usb0="00000001" w:usb1="080F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outside" w:y="1"/>
      <w:spacing w:after="0"/>
      <w:rPr>
        <w:rStyle w:val="7"/>
        <w:rFonts w:hint="eastAsia" w:ascii="宋体" w:hAnsi="宋体"/>
        <w:sz w:val="28"/>
        <w:szCs w:val="28"/>
      </w:rPr>
    </w:pPr>
    <w:r>
      <w:rPr>
        <w:rStyle w:val="7"/>
        <w:rFonts w:hint="eastAsia" w:ascii="宋体" w:hAnsi="宋体"/>
        <w:sz w:val="28"/>
        <w:szCs w:val="28"/>
      </w:rPr>
      <w:t>—</w:t>
    </w:r>
    <w:r>
      <w:rPr>
        <w:rStyle w:val="7"/>
        <w:rFonts w:hint="eastAsia" w:ascii="宋体" w:hAnsi="宋体"/>
        <w:sz w:val="20"/>
        <w:szCs w:val="20"/>
      </w:rPr>
      <w:t xml:space="preserve">  </w:t>
    </w:r>
    <w:r>
      <w:rPr>
        <w:rFonts w:ascii="宋体" w:hAnsi="宋体"/>
        <w:sz w:val="26"/>
        <w:szCs w:val="26"/>
      </w:rPr>
      <w:fldChar w:fldCharType="begin"/>
    </w:r>
    <w:r>
      <w:rPr>
        <w:rStyle w:val="7"/>
        <w:rFonts w:ascii="宋体" w:hAnsi="宋体"/>
        <w:sz w:val="26"/>
        <w:szCs w:val="26"/>
      </w:rPr>
      <w:instrText xml:space="preserve">PAGE  </w:instrText>
    </w:r>
    <w:r>
      <w:rPr>
        <w:rFonts w:ascii="宋体" w:hAnsi="宋体"/>
        <w:sz w:val="26"/>
        <w:szCs w:val="26"/>
      </w:rPr>
      <w:fldChar w:fldCharType="separate"/>
    </w:r>
    <w:r>
      <w:rPr>
        <w:rStyle w:val="7"/>
        <w:rFonts w:ascii="宋体" w:hAnsi="宋体"/>
        <w:sz w:val="26"/>
        <w:szCs w:val="26"/>
      </w:rPr>
      <w:t>39</w:t>
    </w:r>
    <w:r>
      <w:rPr>
        <w:rFonts w:ascii="宋体" w:hAnsi="宋体"/>
        <w:sz w:val="26"/>
        <w:szCs w:val="26"/>
      </w:rPr>
      <w:fldChar w:fldCharType="end"/>
    </w:r>
    <w:r>
      <w:rPr>
        <w:rStyle w:val="7"/>
        <w:rFonts w:hint="eastAsia" w:ascii="宋体" w:hAnsi="宋体"/>
        <w:sz w:val="20"/>
        <w:szCs w:val="20"/>
      </w:rPr>
      <w:t xml:space="preserve">  </w:t>
    </w:r>
    <w:r>
      <w:rPr>
        <w:rStyle w:val="7"/>
        <w:rFonts w:hint="eastAsia" w:ascii="宋体" w:hAnsi="宋体"/>
        <w:sz w:val="28"/>
        <w:szCs w:val="28"/>
      </w:rPr>
      <w:t>—</w:t>
    </w:r>
  </w:p>
  <w:p>
    <w:pPr>
      <w:pStyle w:val="5"/>
      <w:spacing w:after="0"/>
      <w:ind w:right="360" w:firstLine="360"/>
      <w:jc w:val="center"/>
      <w:rPr>
        <w:rFonts w:hint="eastAsi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04B6D"/>
    <w:multiLevelType w:val="singleLevel"/>
    <w:tmpl w:val="05504B6D"/>
    <w:lvl w:ilvl="0" w:tentative="0">
      <w:start w:val="2"/>
      <w:numFmt w:val="chineseCounting"/>
      <w:suff w:val="nothing"/>
      <w:lvlText w:val="%1、"/>
      <w:lvlJc w:val="left"/>
      <w:rPr>
        <w:rFonts w:hint="eastAsia"/>
      </w:rPr>
    </w:lvl>
  </w:abstractNum>
  <w:abstractNum w:abstractNumId="1">
    <w:nsid w:val="26668802"/>
    <w:multiLevelType w:val="singleLevel"/>
    <w:tmpl w:val="26668802"/>
    <w:lvl w:ilvl="0" w:tentative="0">
      <w:start w:val="2"/>
      <w:numFmt w:val="decimal"/>
      <w:suff w:val="nothing"/>
      <w:lvlText w:val="%1、"/>
      <w:lvlJc w:val="left"/>
    </w:lvl>
  </w:abstractNum>
  <w:abstractNum w:abstractNumId="2">
    <w:nsid w:val="2F19A9E3"/>
    <w:multiLevelType w:val="singleLevel"/>
    <w:tmpl w:val="2F19A9E3"/>
    <w:lvl w:ilvl="0" w:tentative="0">
      <w:start w:val="2"/>
      <w:numFmt w:val="decimal"/>
      <w:suff w:val="nothing"/>
      <w:lvlText w:val="（%1）"/>
      <w:lvlJc w:val="left"/>
    </w:lvl>
  </w:abstractNum>
  <w:abstractNum w:abstractNumId="3">
    <w:nsid w:val="482A5226"/>
    <w:multiLevelType w:val="singleLevel"/>
    <w:tmpl w:val="482A5226"/>
    <w:lvl w:ilvl="0" w:tentative="0">
      <w:start w:val="6"/>
      <w:numFmt w:val="decimal"/>
      <w:suff w:val="nothing"/>
      <w:lvlText w:val="%1、"/>
      <w:lvlJc w:val="left"/>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oNotDisplayPageBoundaries w:val="1"/>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88E351B"/>
    <w:rsid w:val="001841DF"/>
    <w:rsid w:val="005B03C1"/>
    <w:rsid w:val="00C167FB"/>
    <w:rsid w:val="00E80367"/>
    <w:rsid w:val="01321561"/>
    <w:rsid w:val="01EC1BFB"/>
    <w:rsid w:val="0287265A"/>
    <w:rsid w:val="02D70110"/>
    <w:rsid w:val="02DC3311"/>
    <w:rsid w:val="030D3452"/>
    <w:rsid w:val="0341257A"/>
    <w:rsid w:val="03621C65"/>
    <w:rsid w:val="03B56534"/>
    <w:rsid w:val="04486596"/>
    <w:rsid w:val="0465788A"/>
    <w:rsid w:val="05640B65"/>
    <w:rsid w:val="05FE51DF"/>
    <w:rsid w:val="060E3A50"/>
    <w:rsid w:val="06487A65"/>
    <w:rsid w:val="064D1134"/>
    <w:rsid w:val="0663189A"/>
    <w:rsid w:val="067640C5"/>
    <w:rsid w:val="06B96729"/>
    <w:rsid w:val="06FC617C"/>
    <w:rsid w:val="07DD255C"/>
    <w:rsid w:val="081B401C"/>
    <w:rsid w:val="0835128C"/>
    <w:rsid w:val="083F639E"/>
    <w:rsid w:val="08520FFF"/>
    <w:rsid w:val="08531CE5"/>
    <w:rsid w:val="08A13126"/>
    <w:rsid w:val="08AA64F6"/>
    <w:rsid w:val="08E84550"/>
    <w:rsid w:val="09213E44"/>
    <w:rsid w:val="098D0BBB"/>
    <w:rsid w:val="09CB4978"/>
    <w:rsid w:val="0A751BD0"/>
    <w:rsid w:val="0B054A41"/>
    <w:rsid w:val="0B2E710A"/>
    <w:rsid w:val="0B5E091E"/>
    <w:rsid w:val="0B620A15"/>
    <w:rsid w:val="0B70203C"/>
    <w:rsid w:val="0B895FCA"/>
    <w:rsid w:val="0B93367E"/>
    <w:rsid w:val="0B9B109F"/>
    <w:rsid w:val="0BBE7780"/>
    <w:rsid w:val="0C080997"/>
    <w:rsid w:val="0C1D2140"/>
    <w:rsid w:val="0C26529A"/>
    <w:rsid w:val="0C2D6CEB"/>
    <w:rsid w:val="0CDC1DD7"/>
    <w:rsid w:val="0D313235"/>
    <w:rsid w:val="0D663D6B"/>
    <w:rsid w:val="0DA35155"/>
    <w:rsid w:val="0E636BEE"/>
    <w:rsid w:val="0E864B33"/>
    <w:rsid w:val="0EC70C41"/>
    <w:rsid w:val="0EE10389"/>
    <w:rsid w:val="0F355740"/>
    <w:rsid w:val="0F736F60"/>
    <w:rsid w:val="0F884D5C"/>
    <w:rsid w:val="0FD5148B"/>
    <w:rsid w:val="0FDE0BF8"/>
    <w:rsid w:val="0FF91203"/>
    <w:rsid w:val="10093C3E"/>
    <w:rsid w:val="1061374F"/>
    <w:rsid w:val="10D42C01"/>
    <w:rsid w:val="10E61149"/>
    <w:rsid w:val="11067A60"/>
    <w:rsid w:val="1108323D"/>
    <w:rsid w:val="11184C29"/>
    <w:rsid w:val="11352A74"/>
    <w:rsid w:val="113D7C9B"/>
    <w:rsid w:val="115A4E6C"/>
    <w:rsid w:val="115D3ACD"/>
    <w:rsid w:val="12053035"/>
    <w:rsid w:val="1245787C"/>
    <w:rsid w:val="126C6DE2"/>
    <w:rsid w:val="126C7D13"/>
    <w:rsid w:val="12A21812"/>
    <w:rsid w:val="12C8042A"/>
    <w:rsid w:val="13562BC7"/>
    <w:rsid w:val="13F766A4"/>
    <w:rsid w:val="142D2BDC"/>
    <w:rsid w:val="143F146D"/>
    <w:rsid w:val="145749AB"/>
    <w:rsid w:val="1486672C"/>
    <w:rsid w:val="14904A99"/>
    <w:rsid w:val="1506076B"/>
    <w:rsid w:val="15251AB9"/>
    <w:rsid w:val="152951FA"/>
    <w:rsid w:val="153A2EF0"/>
    <w:rsid w:val="154B43AD"/>
    <w:rsid w:val="15A57B08"/>
    <w:rsid w:val="15DB5BDA"/>
    <w:rsid w:val="16574A43"/>
    <w:rsid w:val="169102A9"/>
    <w:rsid w:val="16A0381A"/>
    <w:rsid w:val="16CB28B6"/>
    <w:rsid w:val="16CE4727"/>
    <w:rsid w:val="16FA6AA6"/>
    <w:rsid w:val="173304C7"/>
    <w:rsid w:val="173A2BD4"/>
    <w:rsid w:val="174E7FA5"/>
    <w:rsid w:val="176C1857"/>
    <w:rsid w:val="1781744E"/>
    <w:rsid w:val="17851901"/>
    <w:rsid w:val="17BA1050"/>
    <w:rsid w:val="18195519"/>
    <w:rsid w:val="182E4514"/>
    <w:rsid w:val="18431EAB"/>
    <w:rsid w:val="187A5021"/>
    <w:rsid w:val="189A5A8C"/>
    <w:rsid w:val="18AD6908"/>
    <w:rsid w:val="18C162A6"/>
    <w:rsid w:val="1940613C"/>
    <w:rsid w:val="19522761"/>
    <w:rsid w:val="1956229F"/>
    <w:rsid w:val="196E1B61"/>
    <w:rsid w:val="199B702D"/>
    <w:rsid w:val="19BC6884"/>
    <w:rsid w:val="1A222D03"/>
    <w:rsid w:val="1A3417DC"/>
    <w:rsid w:val="1AC66824"/>
    <w:rsid w:val="1AD636FE"/>
    <w:rsid w:val="1ADA3597"/>
    <w:rsid w:val="1AE74385"/>
    <w:rsid w:val="1B0565B9"/>
    <w:rsid w:val="1B411A45"/>
    <w:rsid w:val="1B477392"/>
    <w:rsid w:val="1B6060E0"/>
    <w:rsid w:val="1BC435CD"/>
    <w:rsid w:val="1C046314"/>
    <w:rsid w:val="1C923B55"/>
    <w:rsid w:val="1D535A5E"/>
    <w:rsid w:val="1D704D79"/>
    <w:rsid w:val="1D873BE3"/>
    <w:rsid w:val="1D9F2273"/>
    <w:rsid w:val="1DA578D2"/>
    <w:rsid w:val="1DDF6934"/>
    <w:rsid w:val="1E0B23F4"/>
    <w:rsid w:val="1E791D5A"/>
    <w:rsid w:val="1EC75A4B"/>
    <w:rsid w:val="1EF56262"/>
    <w:rsid w:val="1F373E25"/>
    <w:rsid w:val="1F3C2575"/>
    <w:rsid w:val="1FB244EC"/>
    <w:rsid w:val="20266704"/>
    <w:rsid w:val="202A4233"/>
    <w:rsid w:val="20390537"/>
    <w:rsid w:val="203E0929"/>
    <w:rsid w:val="208008BF"/>
    <w:rsid w:val="20CB692B"/>
    <w:rsid w:val="20E436B1"/>
    <w:rsid w:val="21036182"/>
    <w:rsid w:val="21627AE4"/>
    <w:rsid w:val="217B508A"/>
    <w:rsid w:val="2255681F"/>
    <w:rsid w:val="2266295A"/>
    <w:rsid w:val="228D4A31"/>
    <w:rsid w:val="22C63EAD"/>
    <w:rsid w:val="22E132C0"/>
    <w:rsid w:val="22EF6E8A"/>
    <w:rsid w:val="234E651E"/>
    <w:rsid w:val="239A3300"/>
    <w:rsid w:val="23F426B5"/>
    <w:rsid w:val="23FB60C4"/>
    <w:rsid w:val="241961DE"/>
    <w:rsid w:val="2441553E"/>
    <w:rsid w:val="24621498"/>
    <w:rsid w:val="247A60B4"/>
    <w:rsid w:val="249A7ACF"/>
    <w:rsid w:val="24D70B8F"/>
    <w:rsid w:val="24F90267"/>
    <w:rsid w:val="25052CE2"/>
    <w:rsid w:val="255E6267"/>
    <w:rsid w:val="256B481E"/>
    <w:rsid w:val="256E3EE7"/>
    <w:rsid w:val="258515EC"/>
    <w:rsid w:val="259778B4"/>
    <w:rsid w:val="25983762"/>
    <w:rsid w:val="25D55007"/>
    <w:rsid w:val="25F23B86"/>
    <w:rsid w:val="264F2B6E"/>
    <w:rsid w:val="26752D8C"/>
    <w:rsid w:val="27803BC2"/>
    <w:rsid w:val="27DC4F45"/>
    <w:rsid w:val="27E0163B"/>
    <w:rsid w:val="27F60FE5"/>
    <w:rsid w:val="281214ED"/>
    <w:rsid w:val="28C17EFD"/>
    <w:rsid w:val="29337A31"/>
    <w:rsid w:val="298C68EE"/>
    <w:rsid w:val="29CE16C6"/>
    <w:rsid w:val="2A1C0E67"/>
    <w:rsid w:val="2A272569"/>
    <w:rsid w:val="2A292DDB"/>
    <w:rsid w:val="2AB13955"/>
    <w:rsid w:val="2B13141D"/>
    <w:rsid w:val="2B3D34AF"/>
    <w:rsid w:val="2B7E3E39"/>
    <w:rsid w:val="2B981BD0"/>
    <w:rsid w:val="2BBD7D9E"/>
    <w:rsid w:val="2C2965CF"/>
    <w:rsid w:val="2C3F5632"/>
    <w:rsid w:val="2C4D35BB"/>
    <w:rsid w:val="2C8F63CE"/>
    <w:rsid w:val="2C9011CF"/>
    <w:rsid w:val="2CB12FD3"/>
    <w:rsid w:val="2D230C5F"/>
    <w:rsid w:val="2D7518B5"/>
    <w:rsid w:val="2D9766E0"/>
    <w:rsid w:val="2DDF79B7"/>
    <w:rsid w:val="2E0977BE"/>
    <w:rsid w:val="2E12398A"/>
    <w:rsid w:val="2E447D1F"/>
    <w:rsid w:val="2E6E45EA"/>
    <w:rsid w:val="2EA3431C"/>
    <w:rsid w:val="2EB674BA"/>
    <w:rsid w:val="2F0B02B7"/>
    <w:rsid w:val="2F0E602C"/>
    <w:rsid w:val="2F3914D3"/>
    <w:rsid w:val="2F587915"/>
    <w:rsid w:val="2F8816A6"/>
    <w:rsid w:val="2F972755"/>
    <w:rsid w:val="300B15C5"/>
    <w:rsid w:val="300D1E3B"/>
    <w:rsid w:val="30760067"/>
    <w:rsid w:val="30E75AC6"/>
    <w:rsid w:val="30F804E8"/>
    <w:rsid w:val="3124392B"/>
    <w:rsid w:val="312B1784"/>
    <w:rsid w:val="318D3F8B"/>
    <w:rsid w:val="31CA68B0"/>
    <w:rsid w:val="31F61BE1"/>
    <w:rsid w:val="31F74575"/>
    <w:rsid w:val="3232692E"/>
    <w:rsid w:val="32C066FF"/>
    <w:rsid w:val="32F12218"/>
    <w:rsid w:val="32F24161"/>
    <w:rsid w:val="334E7C23"/>
    <w:rsid w:val="336B1D1E"/>
    <w:rsid w:val="33882896"/>
    <w:rsid w:val="33A025C9"/>
    <w:rsid w:val="33E14F7F"/>
    <w:rsid w:val="342F2AFB"/>
    <w:rsid w:val="34886479"/>
    <w:rsid w:val="34BF6DCE"/>
    <w:rsid w:val="34D20DC7"/>
    <w:rsid w:val="34E303E9"/>
    <w:rsid w:val="34FD16EE"/>
    <w:rsid w:val="3516572F"/>
    <w:rsid w:val="357B59BF"/>
    <w:rsid w:val="358A03AD"/>
    <w:rsid w:val="35A83EB9"/>
    <w:rsid w:val="35C424BB"/>
    <w:rsid w:val="36090197"/>
    <w:rsid w:val="360A32A3"/>
    <w:rsid w:val="363E1884"/>
    <w:rsid w:val="3676597F"/>
    <w:rsid w:val="36E30CAE"/>
    <w:rsid w:val="370F0EBF"/>
    <w:rsid w:val="371C442D"/>
    <w:rsid w:val="37725F5D"/>
    <w:rsid w:val="37975DFD"/>
    <w:rsid w:val="37B11081"/>
    <w:rsid w:val="37E071A2"/>
    <w:rsid w:val="381466A0"/>
    <w:rsid w:val="381954B0"/>
    <w:rsid w:val="382B0A72"/>
    <w:rsid w:val="38B86BF6"/>
    <w:rsid w:val="38DC5F73"/>
    <w:rsid w:val="39331317"/>
    <w:rsid w:val="39826B7F"/>
    <w:rsid w:val="398D633D"/>
    <w:rsid w:val="3A5E390F"/>
    <w:rsid w:val="3A932803"/>
    <w:rsid w:val="3AF264E7"/>
    <w:rsid w:val="3B0F5AE0"/>
    <w:rsid w:val="3B6C4D68"/>
    <w:rsid w:val="3B9328ED"/>
    <w:rsid w:val="3BE975A6"/>
    <w:rsid w:val="3BF25909"/>
    <w:rsid w:val="3C5A3324"/>
    <w:rsid w:val="3C80030A"/>
    <w:rsid w:val="3C98461D"/>
    <w:rsid w:val="3C9D3D89"/>
    <w:rsid w:val="3CA41C04"/>
    <w:rsid w:val="3CBF14EA"/>
    <w:rsid w:val="3CDB6071"/>
    <w:rsid w:val="3D0946A2"/>
    <w:rsid w:val="3D3A4981"/>
    <w:rsid w:val="3D9F4C5C"/>
    <w:rsid w:val="3DC56C31"/>
    <w:rsid w:val="3E114659"/>
    <w:rsid w:val="3E6B514A"/>
    <w:rsid w:val="3E7611F5"/>
    <w:rsid w:val="3EBC7A7C"/>
    <w:rsid w:val="3F371DA6"/>
    <w:rsid w:val="3F5E3C58"/>
    <w:rsid w:val="3F7C2BB2"/>
    <w:rsid w:val="3F8464D0"/>
    <w:rsid w:val="3F9D2FDE"/>
    <w:rsid w:val="401600B7"/>
    <w:rsid w:val="40297359"/>
    <w:rsid w:val="404777A1"/>
    <w:rsid w:val="40F32AE1"/>
    <w:rsid w:val="41152EFF"/>
    <w:rsid w:val="415C5E5D"/>
    <w:rsid w:val="416B07A6"/>
    <w:rsid w:val="41762FC4"/>
    <w:rsid w:val="41F66E27"/>
    <w:rsid w:val="42016FFF"/>
    <w:rsid w:val="422D6BE6"/>
    <w:rsid w:val="423B3C29"/>
    <w:rsid w:val="42B5048D"/>
    <w:rsid w:val="42BF6403"/>
    <w:rsid w:val="43061318"/>
    <w:rsid w:val="433970DA"/>
    <w:rsid w:val="43957C11"/>
    <w:rsid w:val="43BE04D4"/>
    <w:rsid w:val="43F00E76"/>
    <w:rsid w:val="44997ECD"/>
    <w:rsid w:val="44E52FA1"/>
    <w:rsid w:val="44F851DD"/>
    <w:rsid w:val="45067F1C"/>
    <w:rsid w:val="453575A2"/>
    <w:rsid w:val="459507C3"/>
    <w:rsid w:val="45F06DA9"/>
    <w:rsid w:val="46036FCB"/>
    <w:rsid w:val="467E0045"/>
    <w:rsid w:val="46D9539F"/>
    <w:rsid w:val="47306DC2"/>
    <w:rsid w:val="473653CE"/>
    <w:rsid w:val="473768A8"/>
    <w:rsid w:val="47411E5A"/>
    <w:rsid w:val="47990D06"/>
    <w:rsid w:val="479A11F4"/>
    <w:rsid w:val="481C1D65"/>
    <w:rsid w:val="48237C85"/>
    <w:rsid w:val="482A4838"/>
    <w:rsid w:val="483D0E4A"/>
    <w:rsid w:val="488E351B"/>
    <w:rsid w:val="48A429F5"/>
    <w:rsid w:val="48CD3B62"/>
    <w:rsid w:val="48FA7DE9"/>
    <w:rsid w:val="49931B81"/>
    <w:rsid w:val="49CE4F9A"/>
    <w:rsid w:val="49E91A5B"/>
    <w:rsid w:val="49F00732"/>
    <w:rsid w:val="4AB40D85"/>
    <w:rsid w:val="4AE1712D"/>
    <w:rsid w:val="4B311F2B"/>
    <w:rsid w:val="4B330968"/>
    <w:rsid w:val="4B364285"/>
    <w:rsid w:val="4B3671D8"/>
    <w:rsid w:val="4B8A024D"/>
    <w:rsid w:val="4B9E5371"/>
    <w:rsid w:val="4BD8793C"/>
    <w:rsid w:val="4BF10902"/>
    <w:rsid w:val="4C3D3DF9"/>
    <w:rsid w:val="4C5E768D"/>
    <w:rsid w:val="4C8B426B"/>
    <w:rsid w:val="4CA42395"/>
    <w:rsid w:val="4CDD2E4D"/>
    <w:rsid w:val="4CE61242"/>
    <w:rsid w:val="4CEC447B"/>
    <w:rsid w:val="4D2D7722"/>
    <w:rsid w:val="4D7D6524"/>
    <w:rsid w:val="4DAC45A8"/>
    <w:rsid w:val="4DC5164C"/>
    <w:rsid w:val="4DC86CC0"/>
    <w:rsid w:val="4DF91080"/>
    <w:rsid w:val="4E06459E"/>
    <w:rsid w:val="4E0B624F"/>
    <w:rsid w:val="4E290127"/>
    <w:rsid w:val="4E413DB1"/>
    <w:rsid w:val="4E9A77D2"/>
    <w:rsid w:val="4EA16C51"/>
    <w:rsid w:val="4EC83EDF"/>
    <w:rsid w:val="4EFD621D"/>
    <w:rsid w:val="4F3443C0"/>
    <w:rsid w:val="4F6E1167"/>
    <w:rsid w:val="4F954A1A"/>
    <w:rsid w:val="4FA136D6"/>
    <w:rsid w:val="4FD07577"/>
    <w:rsid w:val="50895B35"/>
    <w:rsid w:val="51961E77"/>
    <w:rsid w:val="51DA76BB"/>
    <w:rsid w:val="51DE3435"/>
    <w:rsid w:val="521D1C3A"/>
    <w:rsid w:val="5230109F"/>
    <w:rsid w:val="523C510F"/>
    <w:rsid w:val="52BF39D9"/>
    <w:rsid w:val="53503CB7"/>
    <w:rsid w:val="53645B0C"/>
    <w:rsid w:val="53653332"/>
    <w:rsid w:val="53B05947"/>
    <w:rsid w:val="53B774C6"/>
    <w:rsid w:val="541861C7"/>
    <w:rsid w:val="542A768C"/>
    <w:rsid w:val="54781010"/>
    <w:rsid w:val="54833605"/>
    <w:rsid w:val="548729B7"/>
    <w:rsid w:val="54AD3E77"/>
    <w:rsid w:val="55222DD3"/>
    <w:rsid w:val="557C3C04"/>
    <w:rsid w:val="559A2A60"/>
    <w:rsid w:val="559B4A56"/>
    <w:rsid w:val="55E46811"/>
    <w:rsid w:val="55F820D4"/>
    <w:rsid w:val="55FE1C65"/>
    <w:rsid w:val="56695355"/>
    <w:rsid w:val="56A215DE"/>
    <w:rsid w:val="56AF79F5"/>
    <w:rsid w:val="56B71BC2"/>
    <w:rsid w:val="576349EA"/>
    <w:rsid w:val="57AA0D74"/>
    <w:rsid w:val="57B41D8B"/>
    <w:rsid w:val="57CD5813"/>
    <w:rsid w:val="57D82A5F"/>
    <w:rsid w:val="57E13F03"/>
    <w:rsid w:val="57E872DE"/>
    <w:rsid w:val="586A7FA2"/>
    <w:rsid w:val="588F35FA"/>
    <w:rsid w:val="589F592F"/>
    <w:rsid w:val="58AB27B9"/>
    <w:rsid w:val="58C15052"/>
    <w:rsid w:val="58E036A3"/>
    <w:rsid w:val="58E53EDE"/>
    <w:rsid w:val="59080A70"/>
    <w:rsid w:val="591C5285"/>
    <w:rsid w:val="593A0FB3"/>
    <w:rsid w:val="59560DDF"/>
    <w:rsid w:val="59BF07C2"/>
    <w:rsid w:val="59CE1F13"/>
    <w:rsid w:val="5A054235"/>
    <w:rsid w:val="5A861645"/>
    <w:rsid w:val="5ADA0A67"/>
    <w:rsid w:val="5B0773A8"/>
    <w:rsid w:val="5B650A8E"/>
    <w:rsid w:val="5B7235C2"/>
    <w:rsid w:val="5BBD29AE"/>
    <w:rsid w:val="5BE92DD4"/>
    <w:rsid w:val="5BF323FD"/>
    <w:rsid w:val="5C0317BE"/>
    <w:rsid w:val="5C1573B4"/>
    <w:rsid w:val="5C4775CD"/>
    <w:rsid w:val="5CA45DF2"/>
    <w:rsid w:val="5CC77E74"/>
    <w:rsid w:val="5CE71931"/>
    <w:rsid w:val="5D332A52"/>
    <w:rsid w:val="5DA235AD"/>
    <w:rsid w:val="5E1A4742"/>
    <w:rsid w:val="5E2F4504"/>
    <w:rsid w:val="5E422A9C"/>
    <w:rsid w:val="5E82049B"/>
    <w:rsid w:val="5ED76D4A"/>
    <w:rsid w:val="5EDF56C0"/>
    <w:rsid w:val="5F3E607F"/>
    <w:rsid w:val="5F5F63B7"/>
    <w:rsid w:val="5F6B7DDD"/>
    <w:rsid w:val="5F7232F6"/>
    <w:rsid w:val="5F9451C0"/>
    <w:rsid w:val="600C382F"/>
    <w:rsid w:val="601E7DF5"/>
    <w:rsid w:val="603F0B0B"/>
    <w:rsid w:val="605030EF"/>
    <w:rsid w:val="60893306"/>
    <w:rsid w:val="60B1442E"/>
    <w:rsid w:val="60F511C7"/>
    <w:rsid w:val="6172599F"/>
    <w:rsid w:val="61E21D61"/>
    <w:rsid w:val="62114E4B"/>
    <w:rsid w:val="62494B06"/>
    <w:rsid w:val="626837C1"/>
    <w:rsid w:val="62C819A6"/>
    <w:rsid w:val="63213C35"/>
    <w:rsid w:val="634512DC"/>
    <w:rsid w:val="634D0AC4"/>
    <w:rsid w:val="637313D9"/>
    <w:rsid w:val="63AC3C24"/>
    <w:rsid w:val="63C50FC0"/>
    <w:rsid w:val="63CB5905"/>
    <w:rsid w:val="645625BF"/>
    <w:rsid w:val="645C0483"/>
    <w:rsid w:val="649116EE"/>
    <w:rsid w:val="64A306B1"/>
    <w:rsid w:val="64AF0F29"/>
    <w:rsid w:val="64D55529"/>
    <w:rsid w:val="64E30B5D"/>
    <w:rsid w:val="64E66F80"/>
    <w:rsid w:val="659516ED"/>
    <w:rsid w:val="65FB5F91"/>
    <w:rsid w:val="66016A98"/>
    <w:rsid w:val="663D6C9B"/>
    <w:rsid w:val="664A20D2"/>
    <w:rsid w:val="6715521E"/>
    <w:rsid w:val="679120B6"/>
    <w:rsid w:val="679C500D"/>
    <w:rsid w:val="67E53F4C"/>
    <w:rsid w:val="67F44009"/>
    <w:rsid w:val="680543FA"/>
    <w:rsid w:val="6823445F"/>
    <w:rsid w:val="68292E9C"/>
    <w:rsid w:val="687B05C4"/>
    <w:rsid w:val="68ED1873"/>
    <w:rsid w:val="698F68F9"/>
    <w:rsid w:val="69C55C4C"/>
    <w:rsid w:val="6A27458D"/>
    <w:rsid w:val="6A493BD5"/>
    <w:rsid w:val="6A6A7567"/>
    <w:rsid w:val="6A980DBE"/>
    <w:rsid w:val="6B602C9F"/>
    <w:rsid w:val="6B811FCD"/>
    <w:rsid w:val="6B872C26"/>
    <w:rsid w:val="6BDF74BA"/>
    <w:rsid w:val="6BE06BD8"/>
    <w:rsid w:val="6C1C2CBF"/>
    <w:rsid w:val="6C2C3C5F"/>
    <w:rsid w:val="6C2D2109"/>
    <w:rsid w:val="6CA2540E"/>
    <w:rsid w:val="6CC208B8"/>
    <w:rsid w:val="6CE037A5"/>
    <w:rsid w:val="6CED0D4C"/>
    <w:rsid w:val="6D484040"/>
    <w:rsid w:val="6D535020"/>
    <w:rsid w:val="6DBC311C"/>
    <w:rsid w:val="6DBE6063"/>
    <w:rsid w:val="6DE54D9B"/>
    <w:rsid w:val="6DF848D7"/>
    <w:rsid w:val="6E06025E"/>
    <w:rsid w:val="6E127217"/>
    <w:rsid w:val="6E214CD8"/>
    <w:rsid w:val="6E653EE3"/>
    <w:rsid w:val="6E770D22"/>
    <w:rsid w:val="6F2015CE"/>
    <w:rsid w:val="6F2F18E6"/>
    <w:rsid w:val="6F335251"/>
    <w:rsid w:val="6F45730F"/>
    <w:rsid w:val="70154528"/>
    <w:rsid w:val="70492834"/>
    <w:rsid w:val="705406C8"/>
    <w:rsid w:val="707924F6"/>
    <w:rsid w:val="707E4CF5"/>
    <w:rsid w:val="712B01D5"/>
    <w:rsid w:val="713540C6"/>
    <w:rsid w:val="718F6683"/>
    <w:rsid w:val="720316A0"/>
    <w:rsid w:val="72E87287"/>
    <w:rsid w:val="73304F0A"/>
    <w:rsid w:val="73526C16"/>
    <w:rsid w:val="736138F9"/>
    <w:rsid w:val="73D10153"/>
    <w:rsid w:val="74460128"/>
    <w:rsid w:val="74B94224"/>
    <w:rsid w:val="7515754D"/>
    <w:rsid w:val="75192C34"/>
    <w:rsid w:val="75456472"/>
    <w:rsid w:val="756D4559"/>
    <w:rsid w:val="75BB417F"/>
    <w:rsid w:val="75C10DBE"/>
    <w:rsid w:val="75D80F7B"/>
    <w:rsid w:val="761E78F3"/>
    <w:rsid w:val="764D1D4E"/>
    <w:rsid w:val="766F6BE5"/>
    <w:rsid w:val="76700091"/>
    <w:rsid w:val="76815A87"/>
    <w:rsid w:val="76946E87"/>
    <w:rsid w:val="771A06EF"/>
    <w:rsid w:val="773E01A2"/>
    <w:rsid w:val="77AD7B7B"/>
    <w:rsid w:val="78367823"/>
    <w:rsid w:val="78CC523D"/>
    <w:rsid w:val="79057ACB"/>
    <w:rsid w:val="794738B7"/>
    <w:rsid w:val="7A1E4151"/>
    <w:rsid w:val="7A3B4A0E"/>
    <w:rsid w:val="7A5921FB"/>
    <w:rsid w:val="7AC469CB"/>
    <w:rsid w:val="7ACC5D86"/>
    <w:rsid w:val="7AEC58D2"/>
    <w:rsid w:val="7B047316"/>
    <w:rsid w:val="7B0C60CD"/>
    <w:rsid w:val="7B107918"/>
    <w:rsid w:val="7B277F13"/>
    <w:rsid w:val="7B2D0AB7"/>
    <w:rsid w:val="7B3025E5"/>
    <w:rsid w:val="7B5461E2"/>
    <w:rsid w:val="7B7B0425"/>
    <w:rsid w:val="7BD06D56"/>
    <w:rsid w:val="7BD9710E"/>
    <w:rsid w:val="7CBB13FE"/>
    <w:rsid w:val="7CBE5F7A"/>
    <w:rsid w:val="7CFD0D0A"/>
    <w:rsid w:val="7D0668D0"/>
    <w:rsid w:val="7D715DBD"/>
    <w:rsid w:val="7D7F2FB8"/>
    <w:rsid w:val="7DE27F5E"/>
    <w:rsid w:val="7E0513C3"/>
    <w:rsid w:val="7E0B3C93"/>
    <w:rsid w:val="7E142AD1"/>
    <w:rsid w:val="7E841802"/>
    <w:rsid w:val="7EAF5C8B"/>
    <w:rsid w:val="7F15002E"/>
    <w:rsid w:val="7F1D5254"/>
    <w:rsid w:val="7F2B6FB1"/>
    <w:rsid w:val="7FFC54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2">
    <w:name w:val="heading 2"/>
    <w:basedOn w:val="1"/>
    <w:next w:val="1"/>
    <w:unhideWhenUsed/>
    <w:qFormat/>
    <w:uiPriority w:val="0"/>
    <w:pPr>
      <w:keepNext/>
      <w:keepLines/>
      <w:spacing w:line="413" w:lineRule="auto"/>
      <w:outlineLvl w:val="1"/>
    </w:pPr>
    <w:rPr>
      <w:rFonts w:ascii="Arial" w:hAnsi="Arial" w:eastAsia="黑体"/>
      <w:b/>
      <w:sz w:val="32"/>
    </w:rPr>
  </w:style>
  <w:style w:type="paragraph" w:styleId="3">
    <w:name w:val="heading 3"/>
    <w:basedOn w:val="1"/>
    <w:next w:val="1"/>
    <w:unhideWhenUsed/>
    <w:qFormat/>
    <w:uiPriority w:val="0"/>
    <w:pPr>
      <w:keepNext/>
      <w:keepLines/>
      <w:spacing w:line="413" w:lineRule="auto"/>
      <w:outlineLvl w:val="2"/>
    </w:pPr>
    <w:rPr>
      <w:b/>
      <w:sz w:val="32"/>
    </w:rPr>
  </w:style>
  <w:style w:type="character" w:default="1" w:styleId="6">
    <w:name w:val="Default Paragraph Font"/>
    <w:semiHidden/>
    <w:qFormat/>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4">
    <w:name w:val="endnote text"/>
    <w:basedOn w:val="1"/>
    <w:semiHidden/>
    <w:qFormat/>
    <w:uiPriority w:val="0"/>
    <w:pPr>
      <w:snapToGrid w:val="0"/>
      <w:jc w:val="left"/>
    </w:pPr>
    <w:rPr>
      <w:sz w:val="28"/>
    </w:rPr>
  </w:style>
  <w:style w:type="paragraph" w:styleId="5">
    <w:name w:val="footer"/>
    <w:basedOn w:val="1"/>
    <w:qFormat/>
    <w:uiPriority w:val="0"/>
    <w:pPr>
      <w:tabs>
        <w:tab w:val="center" w:pos="4153"/>
        <w:tab w:val="right" w:pos="8306"/>
      </w:tabs>
    </w:pPr>
    <w:rPr>
      <w:rFonts w:eastAsia="宋体"/>
      <w:sz w:val="18"/>
      <w:szCs w:val="18"/>
    </w:rPr>
  </w:style>
  <w:style w:type="character" w:styleId="7">
    <w:name w:val="page number"/>
    <w:basedOn w:val="6"/>
    <w:qFormat/>
    <w:uiPriority w:val="0"/>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image" Target="media/image4.emf"/><Relationship Id="rId8" Type="http://schemas.openxmlformats.org/officeDocument/2006/relationships/oleObject" Target="embeddings/oleObject1.bin"/><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emf"/><Relationship Id="rId14" Type="http://schemas.openxmlformats.org/officeDocument/2006/relationships/oleObject" Target="embeddings/oleObject4.bin"/><Relationship Id="rId13" Type="http://schemas.openxmlformats.org/officeDocument/2006/relationships/image" Target="media/image6.emf"/><Relationship Id="rId12" Type="http://schemas.openxmlformats.org/officeDocument/2006/relationships/oleObject" Target="embeddings/oleObject3.bin"/><Relationship Id="rId11" Type="http://schemas.openxmlformats.org/officeDocument/2006/relationships/image" Target="media/image5.emf"/><Relationship Id="rId10" Type="http://schemas.openxmlformats.org/officeDocument/2006/relationships/oleObject" Target="embeddings/oleObject2.bin"/><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0309;&#22372;\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17</TotalTime>
  <ScaleCrop>false</ScaleCrop>
  <LinksUpToDate>false</LinksUpToDate>
  <CharactersWithSpaces>0</CharactersWithSpaces>
  <Application>WPS Office_10.1.0.7468_F1E327BC-269C-435d-A152-05C5408002CA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2018-07-02T06:25:00Z</dcterms:created>
  <dc:creator>何坤</dc:creator>
  <cp:lastModifiedBy>Administrator</cp:lastModifiedBy>
  <cp:lastPrinted>2018-08-13T02:33:00Z</cp:lastPrinted>
  <dcterms:modified xsi:type="dcterms:W3CDTF">2018-08-20T06:38:14Z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2052-10.1.0.7468</vt:lpwstr>
  </property>
</Properties>
</file>